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7DC82" w14:textId="624725F4" w:rsidR="00FD64A1" w:rsidRPr="00D90031" w:rsidRDefault="00FD64A1" w:rsidP="00FD64A1">
      <w:pPr>
        <w:spacing w:line="480" w:lineRule="auto"/>
        <w:contextualSpacing/>
        <w:rPr>
          <w:rFonts w:ascii="Times" w:hAnsi="Times"/>
          <w:b/>
          <w:bCs/>
          <w:color w:val="000000" w:themeColor="text1"/>
          <w:sz w:val="23"/>
          <w:szCs w:val="23"/>
        </w:rPr>
      </w:pPr>
      <w:r w:rsidRPr="00D90031">
        <w:rPr>
          <w:rFonts w:ascii="Times" w:hAnsi="Times"/>
          <w:b/>
          <w:bCs/>
          <w:color w:val="000000" w:themeColor="text1"/>
          <w:sz w:val="23"/>
          <w:szCs w:val="23"/>
        </w:rPr>
        <w:t xml:space="preserve">Supplemental Figure Legends </w:t>
      </w:r>
    </w:p>
    <w:p w14:paraId="656478B4" w14:textId="480FB54B" w:rsidR="00FD64A1" w:rsidRPr="00D90031" w:rsidRDefault="00FD64A1" w:rsidP="00FD64A1">
      <w:pPr>
        <w:spacing w:line="480" w:lineRule="auto"/>
        <w:jc w:val="both"/>
        <w:rPr>
          <w:rFonts w:ascii="Times" w:hAnsi="Times"/>
          <w:color w:val="000000" w:themeColor="text1"/>
          <w:sz w:val="23"/>
          <w:szCs w:val="23"/>
        </w:rPr>
      </w:pPr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 xml:space="preserve">Supplemental Figure 1. Gating Strategies used for DC identification and </w:t>
      </w:r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  <w:u w:val="single"/>
        </w:rPr>
        <w:t>in-vitro</w:t>
      </w:r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 xml:space="preserve"> T cell assays.  </w:t>
      </w:r>
      <w:r w:rsidRPr="00D90031">
        <w:rPr>
          <w:rFonts w:ascii="Times" w:hAnsi="Times"/>
          <w:color w:val="000000" w:themeColor="text1"/>
          <w:sz w:val="23"/>
          <w:szCs w:val="23"/>
        </w:rPr>
        <w:t>Gating strategy used to assess checkpoint and costimulatory molecule surface expression on HD and patient DC (A). Monocytes were gated based on FSC vs SSC gating (B), followed by single-cell/viability gating (C). HLA-DR</w:t>
      </w:r>
      <w:r w:rsidRPr="00D90031">
        <w:rPr>
          <w:rFonts w:ascii="Times" w:hAnsi="Times"/>
          <w:color w:val="000000" w:themeColor="text1"/>
          <w:sz w:val="23"/>
          <w:szCs w:val="23"/>
          <w:vertAlign w:val="superscript"/>
        </w:rPr>
        <w:t>+</w:t>
      </w:r>
      <w:r w:rsidRPr="00D90031">
        <w:rPr>
          <w:rFonts w:ascii="Times" w:hAnsi="Times"/>
          <w:color w:val="000000" w:themeColor="text1"/>
          <w:sz w:val="23"/>
          <w:szCs w:val="23"/>
        </w:rPr>
        <w:t>CD86</w:t>
      </w:r>
      <w:r w:rsidRPr="00D90031">
        <w:rPr>
          <w:rFonts w:ascii="Times" w:hAnsi="Times"/>
          <w:color w:val="000000" w:themeColor="text1"/>
          <w:sz w:val="23"/>
          <w:szCs w:val="23"/>
          <w:vertAlign w:val="superscript"/>
        </w:rPr>
        <w:t>+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double-positive DC were then analyzed for co-expression of the indicated DC markers, immune checkpoint molecules and costimulatory molecules by flow cytometry (D). Gating for positive frequencies of ICOSL are shown for a representative patient and HD.  Quantified frequencies are also graphed for each DC subtype (E).</w:t>
      </w:r>
      <w:r w:rsidR="00DA02CE">
        <w:rPr>
          <w:rFonts w:ascii="Times" w:hAnsi="Times"/>
          <w:color w:val="000000" w:themeColor="text1"/>
          <w:sz w:val="23"/>
          <w:szCs w:val="23"/>
        </w:rPr>
        <w:t xml:space="preserve"> </w:t>
      </w:r>
      <w:r w:rsidR="00DA02CE">
        <w:rPr>
          <w:rFonts w:ascii="Times" w:hAnsi="Times"/>
          <w:sz w:val="23"/>
          <w:szCs w:val="23"/>
        </w:rPr>
        <w:t xml:space="preserve">Error bars represent </w:t>
      </w:r>
      <w:r w:rsidR="00DA02CE" w:rsidRPr="00141442">
        <w:rPr>
          <w:rFonts w:ascii="Times" w:hAnsi="Times"/>
          <w:sz w:val="23"/>
          <w:szCs w:val="23"/>
        </w:rPr>
        <w:t>standard deviation</w:t>
      </w:r>
      <w:r w:rsidR="00DA02CE">
        <w:rPr>
          <w:rFonts w:ascii="Times" w:hAnsi="Times"/>
          <w:sz w:val="23"/>
          <w:szCs w:val="23"/>
        </w:rPr>
        <w:t xml:space="preserve">. 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Isotype controls were used to account for background staining. Molecules of interest were considered to be expressed on the surface of DC if positive staining was greater than 2%, compared to background (isotype) levels. CD8</w:t>
      </w:r>
      <w:r w:rsidRPr="00D90031">
        <w:rPr>
          <w:rFonts w:ascii="Times" w:hAnsi="Times"/>
          <w:color w:val="000000" w:themeColor="text1"/>
          <w:sz w:val="23"/>
          <w:szCs w:val="23"/>
          <w:vertAlign w:val="superscript"/>
        </w:rPr>
        <w:t xml:space="preserve">dim+ </w:t>
      </w:r>
      <w:r w:rsidRPr="00D90031">
        <w:rPr>
          <w:rFonts w:ascii="Times" w:hAnsi="Times"/>
          <w:color w:val="000000" w:themeColor="text1"/>
          <w:sz w:val="23"/>
          <w:szCs w:val="23"/>
        </w:rPr>
        <w:t>and CD4</w:t>
      </w:r>
      <w:r w:rsidRPr="00D90031">
        <w:rPr>
          <w:rFonts w:ascii="Times" w:hAnsi="Times"/>
          <w:color w:val="000000" w:themeColor="text1"/>
          <w:sz w:val="23"/>
          <w:szCs w:val="23"/>
          <w:vertAlign w:val="superscript"/>
        </w:rPr>
        <w:t xml:space="preserve">dim+ </w:t>
      </w:r>
      <w:r w:rsidRPr="00D90031">
        <w:rPr>
          <w:rFonts w:ascii="Times" w:hAnsi="Times"/>
          <w:color w:val="000000" w:themeColor="text1"/>
          <w:sz w:val="23"/>
          <w:szCs w:val="23"/>
        </w:rPr>
        <w:t>T cells were selected to assess functional T cell interactors in flow cytometry analyses. The following gating strategy was used to analyze DC-activated T cells from in vitro co-cultures: Lymphocyte cells were selected based on an FSC vs SSC gate, with CD3</w:t>
      </w:r>
      <w:r w:rsidRPr="00D90031">
        <w:rPr>
          <w:rFonts w:ascii="Times" w:hAnsi="Times"/>
          <w:color w:val="000000" w:themeColor="text1"/>
          <w:sz w:val="23"/>
          <w:szCs w:val="23"/>
          <w:vertAlign w:val="superscript"/>
        </w:rPr>
        <w:t>+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single-cells selected for consequent analysis (F). CD8</w:t>
      </w:r>
      <w:r w:rsidRPr="00D90031">
        <w:rPr>
          <w:rFonts w:ascii="Times" w:hAnsi="Times"/>
          <w:color w:val="000000" w:themeColor="text1"/>
          <w:sz w:val="23"/>
          <w:szCs w:val="23"/>
          <w:vertAlign w:val="superscript"/>
        </w:rPr>
        <w:t>+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and CD4</w:t>
      </w:r>
      <w:r w:rsidRPr="00D90031">
        <w:rPr>
          <w:rFonts w:ascii="Times" w:hAnsi="Times"/>
          <w:color w:val="000000" w:themeColor="text1"/>
          <w:sz w:val="23"/>
          <w:szCs w:val="23"/>
          <w:vertAlign w:val="superscript"/>
        </w:rPr>
        <w:t>+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T cells were then separated into high (resting, non-activated) and dim (recently activated) expressor populations (G-H). The CD4/CD8 dim populations were then assessed for expression of CD107a as a surrogate marker of their cytotoxic potential. DC viability was monitored by flow cytometry using zombie aqua dye (to validate data obtained by visual inspection based on trypan blue exclusion) (I).</w:t>
      </w:r>
    </w:p>
    <w:p w14:paraId="5A77721F" w14:textId="77777777" w:rsidR="00FD64A1" w:rsidRPr="00D90031" w:rsidRDefault="00FD64A1" w:rsidP="00FD64A1">
      <w:pPr>
        <w:spacing w:line="480" w:lineRule="auto"/>
        <w:jc w:val="both"/>
        <w:rPr>
          <w:rFonts w:ascii="Times" w:hAnsi="Times"/>
          <w:color w:val="000000" w:themeColor="text1"/>
          <w:sz w:val="23"/>
          <w:szCs w:val="23"/>
        </w:rPr>
      </w:pPr>
    </w:p>
    <w:p w14:paraId="3B563E68" w14:textId="5EE2D321" w:rsidR="00FD64A1" w:rsidRPr="00D90031" w:rsidRDefault="00FD64A1" w:rsidP="00FD64A1">
      <w:pPr>
        <w:spacing w:line="480" w:lineRule="auto"/>
        <w:rPr>
          <w:rFonts w:ascii="Times" w:hAnsi="Times"/>
          <w:bCs/>
          <w:color w:val="000000" w:themeColor="text1"/>
          <w:sz w:val="23"/>
          <w:szCs w:val="23"/>
        </w:rPr>
      </w:pPr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 xml:space="preserve">Supplemental Figure 2. Confirmation of AdVTMM2 transduction of patient </w:t>
      </w:r>
      <w:proofErr w:type="gramStart"/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>DC ;</w:t>
      </w:r>
      <w:proofErr w:type="gramEnd"/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 xml:space="preserve"> melanoma patient mDC and </w:t>
      </w:r>
      <w:r w:rsidR="00DA02CE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>DC</w:t>
      </w:r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 xml:space="preserve"> express</w:t>
      </w:r>
      <w:r w:rsidR="00DA02CE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 xml:space="preserve"> concentrations</w:t>
      </w:r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 xml:space="preserve"> of immunoregulatory molecules.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Differential expression analysis of patient DC (pre/post AdVTMM2 infection) was performed (n=33) using microarrays focusing on vector inclusive transcripts from Tyrosinase, MART-1/MLANA, MAGE-A6 and AdV Hexon-1 (A). A volcano plot is depicted with vector-associated melanoma antigen transcripts indicated. QPCR analysis was performed in a subset of patients (n=6) to verify the </w:t>
      </w:r>
      <w:r w:rsidRPr="00D90031">
        <w:rPr>
          <w:rFonts w:ascii="Times" w:hAnsi="Times"/>
          <w:color w:val="000000" w:themeColor="text1"/>
          <w:sz w:val="23"/>
          <w:szCs w:val="23"/>
        </w:rPr>
        <w:lastRenderedPageBreak/>
        <w:t>microarray data (B). The Y axis is expanded on the left to show differences in encoded tumor antigen expression.</w:t>
      </w:r>
      <w:r w:rsidR="00DA02CE">
        <w:rPr>
          <w:rFonts w:ascii="Times" w:hAnsi="Times"/>
          <w:color w:val="000000" w:themeColor="text1"/>
          <w:sz w:val="23"/>
          <w:szCs w:val="23"/>
        </w:rPr>
        <w:t xml:space="preserve"> </w:t>
      </w:r>
      <w:r w:rsidR="00DA02CE">
        <w:rPr>
          <w:rFonts w:ascii="Times" w:hAnsi="Times"/>
          <w:sz w:val="23"/>
          <w:szCs w:val="23"/>
        </w:rPr>
        <w:t xml:space="preserve">Each end of the box and whisker plot represents the </w:t>
      </w:r>
      <w:r w:rsidR="00DA02CE" w:rsidRPr="00141442">
        <w:rPr>
          <w:rFonts w:ascii="Times" w:hAnsi="Times"/>
          <w:sz w:val="23"/>
          <w:szCs w:val="23"/>
        </w:rPr>
        <w:t>first</w:t>
      </w:r>
      <w:r w:rsidR="00DA02CE">
        <w:rPr>
          <w:rFonts w:ascii="Times" w:hAnsi="Times"/>
          <w:sz w:val="23"/>
          <w:szCs w:val="23"/>
        </w:rPr>
        <w:t xml:space="preserve"> (25%) and third (75%)</w:t>
      </w:r>
      <w:r w:rsidR="00DA02CE" w:rsidRPr="00141442">
        <w:rPr>
          <w:rFonts w:ascii="Times" w:hAnsi="Times"/>
          <w:sz w:val="23"/>
          <w:szCs w:val="23"/>
        </w:rPr>
        <w:t xml:space="preserve"> quartile</w:t>
      </w:r>
      <w:r w:rsidR="00DA02CE">
        <w:rPr>
          <w:rFonts w:ascii="Times" w:hAnsi="Times"/>
          <w:sz w:val="23"/>
          <w:szCs w:val="23"/>
        </w:rPr>
        <w:t>, while the middle line represents the mean.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 </w:t>
      </w:r>
      <w:r w:rsidRPr="00D90031">
        <w:rPr>
          <w:rFonts w:ascii="Times" w:hAnsi="Times"/>
          <w:bCs/>
          <w:iCs/>
          <w:color w:val="000000" w:themeColor="text1"/>
          <w:sz w:val="23"/>
          <w:szCs w:val="23"/>
        </w:rPr>
        <w:t>Shown is</w:t>
      </w:r>
      <w:r w:rsidRPr="00D90031">
        <w:rPr>
          <w:rFonts w:ascii="Times" w:hAnsi="Times"/>
          <w:bCs/>
          <w:i/>
          <w:iCs/>
          <w:color w:val="000000" w:themeColor="text1"/>
          <w:sz w:val="23"/>
          <w:szCs w:val="23"/>
        </w:rPr>
        <w:t xml:space="preserve"> </w:t>
      </w:r>
      <w:r w:rsidRPr="00D90031">
        <w:rPr>
          <w:rFonts w:ascii="Times" w:hAnsi="Times"/>
          <w:bCs/>
          <w:color w:val="000000" w:themeColor="text1"/>
          <w:sz w:val="23"/>
          <w:szCs w:val="23"/>
        </w:rPr>
        <w:t>a heatmap for the top 62 differentially expressed genes (FC &gt; 2 and type 1 error rate of 0.05) in iDC, mDC and AdV/DC of melanoma patients (n=32) (</w:t>
      </w:r>
      <w:r w:rsidR="00DA02CE">
        <w:rPr>
          <w:rFonts w:ascii="Times" w:hAnsi="Times"/>
          <w:bCs/>
          <w:color w:val="000000" w:themeColor="text1"/>
          <w:sz w:val="23"/>
          <w:szCs w:val="23"/>
        </w:rPr>
        <w:t>C</w:t>
      </w:r>
      <w:r w:rsidRPr="00D90031">
        <w:rPr>
          <w:rFonts w:ascii="Times" w:hAnsi="Times"/>
          <w:bCs/>
          <w:color w:val="000000" w:themeColor="text1"/>
          <w:sz w:val="23"/>
          <w:szCs w:val="23"/>
        </w:rPr>
        <w:t>).  Secreted IL-10 levels in melanoma patient mDC (n=22) compared to HD (n=4) (</w:t>
      </w:r>
      <w:r w:rsidR="00DA02CE">
        <w:rPr>
          <w:rFonts w:ascii="Times" w:hAnsi="Times"/>
          <w:bCs/>
          <w:color w:val="000000" w:themeColor="text1"/>
          <w:sz w:val="23"/>
          <w:szCs w:val="23"/>
        </w:rPr>
        <w:t>D</w:t>
      </w:r>
      <w:r w:rsidRPr="00D90031">
        <w:rPr>
          <w:rFonts w:ascii="Times" w:hAnsi="Times"/>
          <w:bCs/>
          <w:color w:val="000000" w:themeColor="text1"/>
          <w:sz w:val="23"/>
          <w:szCs w:val="23"/>
        </w:rPr>
        <w:t>).</w:t>
      </w:r>
      <w:r w:rsidR="00DA02CE">
        <w:rPr>
          <w:rFonts w:ascii="Times" w:hAnsi="Times"/>
          <w:bCs/>
          <w:color w:val="000000" w:themeColor="text1"/>
          <w:sz w:val="23"/>
          <w:szCs w:val="23"/>
        </w:rPr>
        <w:t xml:space="preserve"> </w:t>
      </w:r>
      <w:r w:rsidR="00DA02CE">
        <w:rPr>
          <w:rFonts w:ascii="Times" w:hAnsi="Times"/>
          <w:sz w:val="23"/>
          <w:szCs w:val="23"/>
        </w:rPr>
        <w:t xml:space="preserve">Error bars represent </w:t>
      </w:r>
      <w:r w:rsidR="00DA02CE" w:rsidRPr="00141442">
        <w:rPr>
          <w:rFonts w:ascii="Times" w:hAnsi="Times"/>
          <w:sz w:val="23"/>
          <w:szCs w:val="23"/>
        </w:rPr>
        <w:t>standard deviation</w:t>
      </w:r>
      <w:r w:rsidR="00DA02CE">
        <w:rPr>
          <w:rFonts w:ascii="Times" w:hAnsi="Times"/>
          <w:sz w:val="23"/>
          <w:szCs w:val="23"/>
        </w:rPr>
        <w:t xml:space="preserve">. </w:t>
      </w:r>
      <w:r w:rsidRPr="00D90031">
        <w:rPr>
          <w:rFonts w:ascii="Times" w:hAnsi="Times"/>
          <w:bCs/>
          <w:color w:val="000000" w:themeColor="text1"/>
          <w:sz w:val="23"/>
          <w:szCs w:val="23"/>
        </w:rPr>
        <w:t xml:space="preserve">  </w:t>
      </w:r>
      <w:r w:rsidRPr="00D90031">
        <w:rPr>
          <w:rFonts w:ascii="Times" w:hAnsi="Times"/>
          <w:color w:val="000000" w:themeColor="text1"/>
          <w:sz w:val="23"/>
          <w:szCs w:val="23"/>
        </w:rPr>
        <w:t>Patients were segregated based on clinical outcomes</w:t>
      </w:r>
      <w:r w:rsidRPr="00D90031">
        <w:rPr>
          <w:rFonts w:ascii="Times" w:hAnsi="Times"/>
          <w:bCs/>
          <w:color w:val="000000" w:themeColor="text1"/>
          <w:sz w:val="23"/>
          <w:szCs w:val="23"/>
        </w:rPr>
        <w:t xml:space="preserve"> and unpaired student T tests were used to determine the significance of inter-group differences. *: p value ≤ 0.05. </w:t>
      </w:r>
    </w:p>
    <w:p w14:paraId="76A4FCCF" w14:textId="77777777" w:rsidR="00FD64A1" w:rsidRPr="00D90031" w:rsidRDefault="00FD64A1" w:rsidP="00FD64A1">
      <w:pPr>
        <w:spacing w:line="480" w:lineRule="auto"/>
        <w:jc w:val="both"/>
        <w:rPr>
          <w:rFonts w:ascii="Times" w:hAnsi="Times"/>
          <w:color w:val="000000" w:themeColor="text1"/>
          <w:sz w:val="23"/>
          <w:szCs w:val="23"/>
        </w:rPr>
      </w:pPr>
    </w:p>
    <w:p w14:paraId="7DB87F5D" w14:textId="0A890D17" w:rsidR="00FD64A1" w:rsidRPr="00D90031" w:rsidRDefault="00FD64A1" w:rsidP="00FD64A1">
      <w:pPr>
        <w:spacing w:line="480" w:lineRule="auto"/>
        <w:rPr>
          <w:rFonts w:ascii="Times" w:hAnsi="Times"/>
          <w:color w:val="000000" w:themeColor="text1"/>
          <w:sz w:val="23"/>
          <w:szCs w:val="23"/>
        </w:rPr>
      </w:pPr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>Supplemental Figure 3. Consensus DC phenotypic and potency biomarkers do not correlate with clinical outcome.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 Consensus markers associated with immunostimulatory DC were assessed by flow cytometry after patient DC  adenoviral transduction (AdV/DC) (A). DC were gated based on FSC vs SSC profiles, with IgG isotype-matched antibodies used to define negative control staining patterns. Spontaneous (B) and CD40L-induced (C) IL12p70 and IL-10 secretion from DC were assessed in culture supernatants by Luminex. Patients (n=35) were segregated by clinical outcome, and data comparisons were performed using unpaired student t-tests or Wilcoxon rank sum tests (CD80, CD40, CD11C, and IL12p70/IL10 comparisons) to determine significance. ns = not significant. Microarray analysis of critical DC genes (D),  spontaneous or induced </w:t>
      </w:r>
      <w:r w:rsidRPr="00D90031">
        <w:rPr>
          <w:rFonts w:ascii="Times" w:hAnsi="Times"/>
          <w:i/>
          <w:iCs/>
          <w:color w:val="000000" w:themeColor="text1"/>
          <w:sz w:val="23"/>
          <w:szCs w:val="23"/>
        </w:rPr>
        <w:t>IL12A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, </w:t>
      </w:r>
      <w:r w:rsidRPr="00D90031">
        <w:rPr>
          <w:rFonts w:ascii="Times" w:hAnsi="Times"/>
          <w:i/>
          <w:iCs/>
          <w:color w:val="000000" w:themeColor="text1"/>
          <w:sz w:val="23"/>
          <w:szCs w:val="23"/>
        </w:rPr>
        <w:t xml:space="preserve">IL12B, 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and </w:t>
      </w:r>
      <w:r w:rsidRPr="00D90031">
        <w:rPr>
          <w:rFonts w:ascii="Times" w:hAnsi="Times"/>
          <w:i/>
          <w:iCs/>
          <w:color w:val="000000" w:themeColor="text1"/>
          <w:sz w:val="23"/>
          <w:szCs w:val="23"/>
        </w:rPr>
        <w:t xml:space="preserve">IL10 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transcriptional levels (E) in DC subtypes from melanoma patients(n = 33). </w:t>
      </w:r>
      <w:r w:rsidR="00DA02CE">
        <w:rPr>
          <w:rFonts w:ascii="Times" w:hAnsi="Times"/>
          <w:color w:val="000000" w:themeColor="text1"/>
          <w:sz w:val="23"/>
          <w:szCs w:val="23"/>
        </w:rPr>
        <w:t xml:space="preserve"> </w:t>
      </w:r>
      <w:r w:rsidR="00DA02CE">
        <w:rPr>
          <w:rFonts w:ascii="Times" w:hAnsi="Times"/>
          <w:sz w:val="23"/>
          <w:szCs w:val="23"/>
        </w:rPr>
        <w:t xml:space="preserve">Each end of the box and whisker plots represent the </w:t>
      </w:r>
      <w:r w:rsidR="00DA02CE" w:rsidRPr="00141442">
        <w:rPr>
          <w:rFonts w:ascii="Times" w:hAnsi="Times"/>
          <w:sz w:val="23"/>
          <w:szCs w:val="23"/>
        </w:rPr>
        <w:t>first</w:t>
      </w:r>
      <w:r w:rsidR="00DA02CE">
        <w:rPr>
          <w:rFonts w:ascii="Times" w:hAnsi="Times"/>
          <w:sz w:val="23"/>
          <w:szCs w:val="23"/>
        </w:rPr>
        <w:t xml:space="preserve"> (25%) and third (75%)</w:t>
      </w:r>
      <w:r w:rsidR="00DA02CE" w:rsidRPr="00141442">
        <w:rPr>
          <w:rFonts w:ascii="Times" w:hAnsi="Times"/>
          <w:sz w:val="23"/>
          <w:szCs w:val="23"/>
        </w:rPr>
        <w:t xml:space="preserve"> quartile</w:t>
      </w:r>
      <w:r w:rsidR="00DA02CE">
        <w:rPr>
          <w:rFonts w:ascii="Times" w:hAnsi="Times"/>
          <w:sz w:val="23"/>
          <w:szCs w:val="23"/>
        </w:rPr>
        <w:t>, while the middle line represents the mean.</w:t>
      </w:r>
      <w:r w:rsidR="00DA02CE" w:rsidRPr="00D90031">
        <w:rPr>
          <w:rFonts w:ascii="Times" w:hAnsi="Times"/>
          <w:color w:val="000000" w:themeColor="text1"/>
          <w:sz w:val="23"/>
          <w:szCs w:val="23"/>
        </w:rPr>
        <w:t xml:space="preserve"> 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Patients are segregated based on clinical outcome, with the significance of inter-group differences for </w:t>
      </w:r>
      <w:r w:rsidRPr="00D90031">
        <w:rPr>
          <w:rFonts w:ascii="Times" w:hAnsi="Times"/>
          <w:i/>
          <w:iCs/>
          <w:color w:val="000000" w:themeColor="text1"/>
          <w:sz w:val="23"/>
          <w:szCs w:val="23"/>
        </w:rPr>
        <w:t>IL10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and</w:t>
      </w:r>
      <w:r w:rsidRPr="00D90031">
        <w:rPr>
          <w:rFonts w:ascii="Times" w:hAnsi="Times"/>
          <w:i/>
          <w:iCs/>
          <w:color w:val="000000" w:themeColor="text1"/>
          <w:sz w:val="23"/>
          <w:szCs w:val="23"/>
        </w:rPr>
        <w:t xml:space="preserve"> ITAX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determined using a one-way ANOVA analysis with Tukey’s multiple comparison test. All other inter-group differences were assessed using the  Kruskal-Wallis one-way ANOVA with Dunnett’s multiple comparison test. **: p value ≤ 0.01, ****: p value≤ 0.0001, ns= not significant.</w:t>
      </w:r>
    </w:p>
    <w:p w14:paraId="29FB12EA" w14:textId="77777777" w:rsidR="00FD64A1" w:rsidRPr="00D90031" w:rsidRDefault="00FD64A1" w:rsidP="00FD64A1">
      <w:pPr>
        <w:spacing w:line="480" w:lineRule="auto"/>
        <w:rPr>
          <w:rFonts w:ascii="Times" w:hAnsi="Times" w:cs="Times"/>
          <w:color w:val="000000" w:themeColor="text1"/>
          <w:sz w:val="23"/>
          <w:szCs w:val="23"/>
        </w:rPr>
      </w:pPr>
    </w:p>
    <w:p w14:paraId="068FC110" w14:textId="7AB79D40" w:rsidR="00FD64A1" w:rsidRPr="00D90031" w:rsidRDefault="00FD64A1" w:rsidP="00FD64A1">
      <w:pPr>
        <w:spacing w:line="480" w:lineRule="auto"/>
        <w:rPr>
          <w:rFonts w:ascii="Times" w:hAnsi="Times"/>
          <w:i/>
          <w:color w:val="000000" w:themeColor="text1"/>
          <w:sz w:val="23"/>
          <w:szCs w:val="23"/>
        </w:rPr>
      </w:pPr>
      <w:r w:rsidRPr="00D90031">
        <w:rPr>
          <w:rFonts w:ascii="Times" w:hAnsi="Times"/>
          <w:b/>
          <w:bCs/>
          <w:i/>
          <w:color w:val="000000" w:themeColor="text1"/>
          <w:sz w:val="23"/>
          <w:szCs w:val="23"/>
        </w:rPr>
        <w:t xml:space="preserve">Supplemental Figure 4. HD and patient DC express surface expression of PD-L1, PD-L2 and CTLA-4 post-maturation and viral transduction. </w:t>
      </w:r>
      <w:r w:rsidRPr="00D90031">
        <w:rPr>
          <w:rFonts w:ascii="Times" w:hAnsi="Times"/>
          <w:bCs/>
          <w:color w:val="000000" w:themeColor="text1"/>
          <w:sz w:val="23"/>
          <w:szCs w:val="23"/>
        </w:rPr>
        <w:t>DC surface expression of immune c</w:t>
      </w:r>
      <w:r w:rsidRPr="00D90031">
        <w:rPr>
          <w:rFonts w:ascii="Times" w:hAnsi="Times"/>
          <w:color w:val="000000" w:themeColor="text1"/>
          <w:sz w:val="23"/>
          <w:szCs w:val="23"/>
        </w:rPr>
        <w:t>heckpoint molecules PD-L1 (A, left), PD-L2 (A, right) an CTLA-4 (A, second row) on DC subtypes (Day 5 iDC, Day 6 mDC, and Day 7 AdV/DC) by flow cytometry in HD (n=4) and melanoma patients (n = 32).</w:t>
      </w:r>
      <w:r w:rsidR="00DA02CE">
        <w:rPr>
          <w:rFonts w:ascii="Times" w:hAnsi="Times"/>
          <w:color w:val="000000" w:themeColor="text1"/>
          <w:sz w:val="23"/>
          <w:szCs w:val="23"/>
        </w:rPr>
        <w:t xml:space="preserve"> </w:t>
      </w:r>
      <w:r w:rsidR="00DA02CE">
        <w:rPr>
          <w:rFonts w:ascii="Times" w:hAnsi="Times"/>
          <w:sz w:val="23"/>
          <w:szCs w:val="23"/>
        </w:rPr>
        <w:t xml:space="preserve">Error bars represent </w:t>
      </w:r>
      <w:r w:rsidR="00DA02CE" w:rsidRPr="00141442">
        <w:rPr>
          <w:rFonts w:ascii="Times" w:hAnsi="Times"/>
          <w:sz w:val="23"/>
          <w:szCs w:val="23"/>
        </w:rPr>
        <w:t>standard deviation</w:t>
      </w:r>
      <w:r w:rsidR="00DA02CE">
        <w:rPr>
          <w:rFonts w:ascii="Times" w:hAnsi="Times"/>
          <w:sz w:val="23"/>
          <w:szCs w:val="23"/>
        </w:rPr>
        <w:t xml:space="preserve">. 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Patients were segregated based on clinical outcomes. Significance of inter-group differences for PD-L1 &amp; CTLA-4 expression on patient cells and CTLA-4 expression on HD were determined using the  Kruskal-Wallis one-way ANOVA with Dunnett’s multiple comparison test. PD-L2 expression ion patient &amp; HD DC and PD-L1 expression. Patient DC were determined using one-way ANOVA analysis with Tukey’s multiple comparison test. *: p value ≤ 0.05, **: p value ≤ 0.01, ***: p value ≤ 0.001, ****: p value≤ 0.0001.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Correlation of AdV/DC surface protein expression (flow cytometry; MFI) of PD-L1 and CTLA-4 (n=32) (B).  Correlations of 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>CTLA4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 with 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>IL12A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, 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 xml:space="preserve">CD86,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and 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 xml:space="preserve">IL10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 transcriptional levels in patient AdV/DC (n=33) (C).</w:t>
      </w:r>
      <w:r w:rsidR="00DA02CE">
        <w:rPr>
          <w:rFonts w:ascii="Times" w:hAnsi="Times"/>
          <w:iCs/>
          <w:color w:val="000000" w:themeColor="text1"/>
          <w:sz w:val="23"/>
          <w:szCs w:val="23"/>
        </w:rPr>
        <w:t xml:space="preserve"> </w:t>
      </w:r>
      <w:r w:rsidR="00DA02CE">
        <w:rPr>
          <w:rFonts w:ascii="Times" w:hAnsi="Times"/>
          <w:sz w:val="23"/>
          <w:szCs w:val="23"/>
        </w:rPr>
        <w:t xml:space="preserve">The grey shaded areas represent the 95% Confidence Interval bands. </w:t>
      </w:r>
      <w:r w:rsidR="00DA02CE" w:rsidRPr="00BC4A2E">
        <w:rPr>
          <w:rFonts w:ascii="Times" w:hAnsi="Times"/>
          <w:sz w:val="23"/>
          <w:szCs w:val="23"/>
        </w:rPr>
        <w:t xml:space="preserve">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 Patients are segregated based on clinical outcomes. Spearman correlations were used to assess the relationship between PDL1 and CTLA4 surface protein on AdV/DC, as well as to assess the relationship between 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 xml:space="preserve">CTLA4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and 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>CD80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. Pearson’s R was used to determine the correlation between 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 xml:space="preserve">CTLA4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>and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 xml:space="preserve"> IL12A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>and the correlation between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 xml:space="preserve"> CTLA4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and </w:t>
      </w:r>
      <w:r w:rsidRPr="00D90031">
        <w:rPr>
          <w:rFonts w:ascii="Times" w:hAnsi="Times"/>
          <w:i/>
          <w:color w:val="000000" w:themeColor="text1"/>
          <w:sz w:val="23"/>
          <w:szCs w:val="23"/>
        </w:rPr>
        <w:t xml:space="preserve">IL10. </w:t>
      </w:r>
    </w:p>
    <w:p w14:paraId="53EE389C" w14:textId="77777777" w:rsidR="00FD64A1" w:rsidRPr="00D90031" w:rsidRDefault="00FD64A1" w:rsidP="00FD64A1">
      <w:pPr>
        <w:spacing w:line="480" w:lineRule="auto"/>
        <w:rPr>
          <w:rFonts w:ascii="Times" w:hAnsi="Times"/>
          <w:i/>
          <w:color w:val="000000" w:themeColor="text1"/>
          <w:sz w:val="23"/>
          <w:szCs w:val="23"/>
        </w:rPr>
      </w:pPr>
    </w:p>
    <w:p w14:paraId="240C6C24" w14:textId="76F0D965" w:rsidR="00FD64A1" w:rsidRPr="00D90031" w:rsidRDefault="00FD64A1" w:rsidP="00FD64A1">
      <w:pPr>
        <w:spacing w:line="480" w:lineRule="auto"/>
        <w:rPr>
          <w:rFonts w:ascii="Times" w:hAnsi="Times"/>
          <w:color w:val="000000" w:themeColor="text1"/>
          <w:sz w:val="23"/>
          <w:szCs w:val="23"/>
        </w:rPr>
      </w:pPr>
      <w:r w:rsidRPr="00D90031">
        <w:rPr>
          <w:rFonts w:ascii="Times" w:hAnsi="Times"/>
          <w:b/>
          <w:bCs/>
          <w:i/>
          <w:iCs/>
          <w:color w:val="000000" w:themeColor="text1"/>
          <w:sz w:val="23"/>
          <w:szCs w:val="23"/>
        </w:rPr>
        <w:t>Supplemental Figure 5. ICOSL surface protein is significantly reduced in melanoma patient DC post-maturation</w:t>
      </w:r>
      <w:r w:rsidRPr="00D90031">
        <w:rPr>
          <w:rFonts w:ascii="Times" w:hAnsi="Times"/>
          <w:b/>
          <w:bCs/>
          <w:color w:val="000000" w:themeColor="text1"/>
          <w:sz w:val="23"/>
          <w:szCs w:val="23"/>
        </w:rPr>
        <w:t xml:space="preserve">. 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ICOSL protein surface expression (flow cytometry, MIF) was analyzed in HD (n=4) and melanoma patient (n=30) DC subtypes (A). </w:t>
      </w:r>
      <w:r w:rsidR="004E4560">
        <w:rPr>
          <w:rFonts w:ascii="Times" w:hAnsi="Times"/>
          <w:sz w:val="23"/>
          <w:szCs w:val="23"/>
        </w:rPr>
        <w:t xml:space="preserve">Error bars represent </w:t>
      </w:r>
      <w:r w:rsidR="004E4560" w:rsidRPr="00141442">
        <w:rPr>
          <w:rFonts w:ascii="Times" w:hAnsi="Times"/>
          <w:sz w:val="23"/>
          <w:szCs w:val="23"/>
        </w:rPr>
        <w:t>standard deviation</w:t>
      </w:r>
      <w:r w:rsidR="004E4560">
        <w:rPr>
          <w:rFonts w:ascii="Times" w:hAnsi="Times"/>
          <w:sz w:val="23"/>
          <w:szCs w:val="23"/>
        </w:rPr>
        <w:t xml:space="preserve">. </w:t>
      </w:r>
      <w:r w:rsidR="004E4560" w:rsidRPr="00D90031">
        <w:rPr>
          <w:rFonts w:ascii="Times" w:hAnsi="Times"/>
          <w:color w:val="000000" w:themeColor="text1"/>
          <w:sz w:val="23"/>
          <w:szCs w:val="23"/>
        </w:rPr>
        <w:t xml:space="preserve"> 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Patients were segregated based on clinical outcomes. HD significance was determined using one-way ANOVA analysis with Tukey’s multiple comparison test. Patient significance was determined using Kruskal-Wallis one-way ANOVA with Dunnett’s multiple comparison test. sICOSL levels were </w:t>
      </w:r>
      <w:r w:rsidRPr="00D90031">
        <w:rPr>
          <w:rFonts w:ascii="Times" w:hAnsi="Times"/>
          <w:color w:val="000000" w:themeColor="text1"/>
          <w:sz w:val="23"/>
          <w:szCs w:val="23"/>
        </w:rPr>
        <w:lastRenderedPageBreak/>
        <w:t>determined in patient (n = 7) or HD (n=4) matched pairs mDC &amp; AdV/DC culture supernatants using a specific ELISA. Due to a washout step following viral transduction, the levels of sICOSL detected in AdVTMM2/DC do not represent “net total”. We calculated cumulative totals (mDC + AdV/DC sICOSL levels) to estimate the total of sICOSL produced from day 7 AdV/DC for each patient/HD (B). Multivariable Cox proportional hazard model for CD8+ T cell infiltration and ICOSLG expression in SKCM tumors (C). KM curves for the corresponding immune infiltrates in SKCM (both primary tumor and metastasis). The CD8</w:t>
      </w:r>
      <w:r w:rsidRPr="00D90031">
        <w:rPr>
          <w:rFonts w:ascii="Times" w:hAnsi="Times"/>
          <w:color w:val="000000" w:themeColor="text1"/>
          <w:sz w:val="23"/>
          <w:szCs w:val="23"/>
          <w:vertAlign w:val="superscript"/>
        </w:rPr>
        <w:t>+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T cell infiltration and </w:t>
      </w:r>
      <w:r w:rsidRPr="00D90031">
        <w:rPr>
          <w:rFonts w:ascii="Times" w:hAnsi="Times"/>
          <w:i/>
          <w:iCs/>
          <w:color w:val="000000" w:themeColor="text1"/>
          <w:sz w:val="23"/>
          <w:szCs w:val="23"/>
        </w:rPr>
        <w:t>ICOSLG</w:t>
      </w:r>
      <w:r w:rsidRPr="00D90031">
        <w:rPr>
          <w:rFonts w:ascii="Times" w:hAnsi="Times"/>
          <w:color w:val="000000" w:themeColor="text1"/>
          <w:sz w:val="23"/>
          <w:szCs w:val="23"/>
        </w:rPr>
        <w:t xml:space="preserve"> gene expression are divided into low and high levels. The hazard ratio and p value for Cox model and the log-rank p value indicated on the KM plot (D).  </w:t>
      </w:r>
      <w:r w:rsidRPr="00D90031">
        <w:rPr>
          <w:rFonts w:ascii="Times" w:hAnsi="Times"/>
          <w:bCs/>
          <w:color w:val="000000" w:themeColor="text1"/>
          <w:sz w:val="23"/>
          <w:szCs w:val="23"/>
        </w:rPr>
        <w:t xml:space="preserve">*: p value ≤ 0.05, </w:t>
      </w:r>
      <w:r w:rsidRPr="00D90031">
        <w:rPr>
          <w:rFonts w:ascii="Times" w:hAnsi="Times"/>
          <w:color w:val="000000" w:themeColor="text1"/>
          <w:sz w:val="23"/>
          <w:szCs w:val="23"/>
        </w:rPr>
        <w:t>****: p value≤ 0.0001.</w:t>
      </w:r>
    </w:p>
    <w:p w14:paraId="0B9D57EE" w14:textId="77777777" w:rsidR="00FD64A1" w:rsidRPr="00D90031" w:rsidRDefault="00FD64A1" w:rsidP="00FD64A1">
      <w:pPr>
        <w:spacing w:line="480" w:lineRule="auto"/>
        <w:rPr>
          <w:rFonts w:ascii="Times" w:hAnsi="Times"/>
          <w:color w:val="000000" w:themeColor="text1"/>
          <w:sz w:val="23"/>
          <w:szCs w:val="23"/>
        </w:rPr>
      </w:pPr>
    </w:p>
    <w:p w14:paraId="2E42F771" w14:textId="046A15FF" w:rsidR="00FD64A1" w:rsidRPr="00D90031" w:rsidRDefault="00FD64A1" w:rsidP="00FD64A1">
      <w:pPr>
        <w:spacing w:line="480" w:lineRule="auto"/>
        <w:rPr>
          <w:rFonts w:ascii="Times" w:hAnsi="Times"/>
          <w:color w:val="000000" w:themeColor="text1"/>
          <w:sz w:val="23"/>
          <w:szCs w:val="23"/>
        </w:rPr>
      </w:pPr>
      <w:r w:rsidRPr="00D90031">
        <w:rPr>
          <w:rFonts w:ascii="Times" w:hAnsi="Times"/>
          <w:b/>
          <w:bCs/>
          <w:i/>
          <w:color w:val="000000" w:themeColor="text1"/>
          <w:sz w:val="23"/>
          <w:szCs w:val="23"/>
        </w:rPr>
        <w:t xml:space="preserve">Supplemental Figure 6. Primer design and DNA input used in Chromatin Immunoprecipitation (ChIP) assays. </w:t>
      </w:r>
      <w:r w:rsidRPr="00D90031">
        <w:rPr>
          <w:rFonts w:ascii="Times" w:hAnsi="Times"/>
          <w:bCs/>
          <w:iCs/>
          <w:color w:val="000000" w:themeColor="text1"/>
          <w:sz w:val="23"/>
          <w:szCs w:val="23"/>
        </w:rPr>
        <w:t>The predicted</w:t>
      </w:r>
      <w:r w:rsidRPr="00D90031">
        <w:rPr>
          <w:rFonts w:ascii="Times" w:hAnsi="Times"/>
          <w:b/>
          <w:bCs/>
          <w:iCs/>
          <w:color w:val="000000" w:themeColor="text1"/>
          <w:sz w:val="23"/>
          <w:szCs w:val="23"/>
        </w:rPr>
        <w:t xml:space="preserve"> 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>NF-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sym w:font="Symbol" w:char="F06B"/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>B binding site in the ICOSLG promoter is highlighted in red. Purple regions denote primer sequences used to amplify N-</w:t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sym w:font="Symbol" w:char="F06B"/>
      </w:r>
      <w:r w:rsidRPr="00D90031">
        <w:rPr>
          <w:rFonts w:ascii="Times" w:hAnsi="Times"/>
          <w:iCs/>
          <w:color w:val="000000" w:themeColor="text1"/>
          <w:sz w:val="23"/>
          <w:szCs w:val="23"/>
        </w:rPr>
        <w:t xml:space="preserve">B enrichment in ChIP assays. Additional primer pairs (see Methods section) targeting downstream EXON sequence was used for negative/background binding control (A).  Shown is the distribution of micrococcal nuclease-digested DNA fragments from one representative donor used in the ChIP assay (B). </w:t>
      </w:r>
    </w:p>
    <w:p w14:paraId="30FB622B" w14:textId="77777777" w:rsidR="000E08BD" w:rsidRDefault="000E08BD"/>
    <w:sectPr w:rsidR="000E08BD" w:rsidSect="0027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4A1"/>
    <w:rsid w:val="0008479E"/>
    <w:rsid w:val="00090720"/>
    <w:rsid w:val="000E08BD"/>
    <w:rsid w:val="001A5C16"/>
    <w:rsid w:val="00271876"/>
    <w:rsid w:val="00294F9B"/>
    <w:rsid w:val="002C64AB"/>
    <w:rsid w:val="003102C5"/>
    <w:rsid w:val="003D4319"/>
    <w:rsid w:val="004E4560"/>
    <w:rsid w:val="00627FC0"/>
    <w:rsid w:val="00640DCB"/>
    <w:rsid w:val="006B76E3"/>
    <w:rsid w:val="008160D4"/>
    <w:rsid w:val="00826F6E"/>
    <w:rsid w:val="008B5ACA"/>
    <w:rsid w:val="008D476B"/>
    <w:rsid w:val="009408B9"/>
    <w:rsid w:val="0096732D"/>
    <w:rsid w:val="00A27D42"/>
    <w:rsid w:val="00B452B4"/>
    <w:rsid w:val="00CA0BDB"/>
    <w:rsid w:val="00D90031"/>
    <w:rsid w:val="00DA02CE"/>
    <w:rsid w:val="00DC2879"/>
    <w:rsid w:val="00E15EA1"/>
    <w:rsid w:val="00EB03BF"/>
    <w:rsid w:val="00EE20EC"/>
    <w:rsid w:val="00FA2273"/>
    <w:rsid w:val="00FD64A1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0EC4"/>
  <w15:chartTrackingRefBased/>
  <w15:docId w15:val="{E88722AE-FBCD-3349-A991-6745532B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4A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CE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4E12D-AECF-D849-8085-7BA365B3E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Maurer, Deena Marie</dc:creator>
  <cp:keywords/>
  <dc:description/>
  <cp:lastModifiedBy>brittany rubio</cp:lastModifiedBy>
  <cp:revision>3</cp:revision>
  <dcterms:created xsi:type="dcterms:W3CDTF">2020-09-09T15:02:00Z</dcterms:created>
  <dcterms:modified xsi:type="dcterms:W3CDTF">2020-09-18T17:33:00Z</dcterms:modified>
</cp:coreProperties>
</file>