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9A" w:rsidRDefault="00041E9A" w:rsidP="00041E9A">
      <w:pPr>
        <w:widowControl/>
        <w:wordWrap/>
        <w:autoSpaceDE/>
        <w:spacing w:after="0" w:line="48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LEGENDS</w:t>
      </w:r>
    </w:p>
    <w:p w:rsidR="00041E9A" w:rsidRDefault="00041E9A" w:rsidP="00041E9A">
      <w:pPr>
        <w:widowControl/>
        <w:wordWrap/>
        <w:autoSpaceDE/>
        <w:spacing w:after="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S1. Effect of </w:t>
      </w:r>
      <w:r>
        <w:rPr>
          <w:rFonts w:ascii="Times New Roman" w:hAnsi="Times New Roman" w:cs="Times New Roman"/>
          <w:b/>
          <w:bCs/>
          <w:i/>
          <w:iCs/>
        </w:rPr>
        <w:t>H. pylori</w:t>
      </w:r>
      <w:r>
        <w:rPr>
          <w:rFonts w:ascii="Times New Roman" w:hAnsi="Times New Roman" w:cs="Times New Roman"/>
          <w:b/>
          <w:bCs/>
        </w:rPr>
        <w:t xml:space="preserve"> infection. </w:t>
      </w:r>
      <w:r>
        <w:rPr>
          <w:rFonts w:ascii="Times New Roman" w:hAnsi="Times New Roman" w:cs="Times New Roman"/>
        </w:rPr>
        <w:t xml:space="preserve">(A) Heatmap showing increased CDX1 expression in gastric epithelia of </w:t>
      </w:r>
      <w:r>
        <w:rPr>
          <w:rFonts w:ascii="Times New Roman" w:hAnsi="Times New Roman" w:cs="Times New Roman"/>
          <w:i/>
          <w:iCs/>
        </w:rPr>
        <w:t>Rhesus macaque</w:t>
      </w:r>
      <w:r>
        <w:rPr>
          <w:rFonts w:ascii="Times New Roman" w:hAnsi="Times New Roman" w:cs="Times New Roman"/>
        </w:rPr>
        <w:t xml:space="preserve"> infected with </w:t>
      </w:r>
      <w:r>
        <w:rPr>
          <w:rFonts w:ascii="Times New Roman" w:hAnsi="Times New Roman" w:cs="Times New Roman"/>
          <w:i/>
          <w:iCs/>
        </w:rPr>
        <w:t>H. pylori</w:t>
      </w:r>
      <w:r>
        <w:rPr>
          <w:rFonts w:ascii="Times New Roman" w:hAnsi="Times New Roman" w:cs="Times New Roman"/>
        </w:rPr>
        <w:t xml:space="preserve">. Protein expression of CD44 and Slug increased as well, suggesting induction of </w:t>
      </w:r>
      <w:proofErr w:type="spellStart"/>
      <w:r>
        <w:rPr>
          <w:rFonts w:ascii="Times New Roman" w:hAnsi="Times New Roman" w:cs="Times New Roman"/>
        </w:rPr>
        <w:t>stemness</w:t>
      </w:r>
      <w:proofErr w:type="spellEnd"/>
      <w:r>
        <w:rPr>
          <w:rFonts w:ascii="Times New Roman" w:hAnsi="Times New Roman" w:cs="Times New Roman"/>
        </w:rPr>
        <w:t xml:space="preserve"> and increased epithelial mesenchymal transition potential. (B) HFE 145 cells infected with </w:t>
      </w:r>
      <w:r>
        <w:rPr>
          <w:rFonts w:ascii="Times New Roman" w:hAnsi="Times New Roman" w:cs="Times New Roman"/>
          <w:i/>
          <w:iCs/>
        </w:rPr>
        <w:t>H. pylori</w:t>
      </w:r>
      <w:r>
        <w:rPr>
          <w:rFonts w:ascii="Times New Roman" w:hAnsi="Times New Roman" w:cs="Times New Roman"/>
        </w:rPr>
        <w:t xml:space="preserve"> WT 60190 showed scattering and cellular elongation suggestive of an invasive phenotype. Arrows indicate representative morphological changes. (C) HFE 145 cells infected with WT </w:t>
      </w:r>
      <w:r>
        <w:rPr>
          <w:rFonts w:ascii="Times New Roman" w:hAnsi="Times New Roman" w:cs="Times New Roman"/>
          <w:i/>
          <w:iCs/>
        </w:rPr>
        <w:t>H. pylori</w:t>
      </w:r>
      <w:r>
        <w:rPr>
          <w:rFonts w:ascii="Times New Roman" w:hAnsi="Times New Roman" w:cs="Times New Roman"/>
        </w:rPr>
        <w:t xml:space="preserve"> showed increased proliferative activity compared to cells infected with the mutant strain. (D) Immunofluorescence assay clearly visualized increased CDX1 expression upon infected with WT </w:t>
      </w:r>
      <w:r>
        <w:rPr>
          <w:rFonts w:ascii="Times New Roman" w:hAnsi="Times New Roman" w:cs="Times New Roman"/>
          <w:i/>
          <w:iCs/>
        </w:rPr>
        <w:t>H. pylori</w:t>
      </w:r>
      <w:r>
        <w:rPr>
          <w:rFonts w:ascii="Times New Roman" w:hAnsi="Times New Roman" w:cs="Times New Roman"/>
        </w:rPr>
        <w:t xml:space="preserve">. (E) The expression of NANOG increased significantly after WT </w:t>
      </w:r>
      <w:r>
        <w:rPr>
          <w:rFonts w:ascii="Times New Roman" w:hAnsi="Times New Roman" w:cs="Times New Roman"/>
          <w:i/>
          <w:iCs/>
        </w:rPr>
        <w:t>H. pylori</w:t>
      </w:r>
      <w:r>
        <w:rPr>
          <w:rFonts w:ascii="Times New Roman" w:hAnsi="Times New Roman" w:cs="Times New Roman"/>
        </w:rPr>
        <w:t xml:space="preserve"> infection while there was no significant increased with mutant </w:t>
      </w:r>
      <w:r>
        <w:rPr>
          <w:rFonts w:ascii="Times New Roman" w:hAnsi="Times New Roman" w:cs="Times New Roman"/>
          <w:i/>
          <w:iCs/>
        </w:rPr>
        <w:t>H. pylori</w:t>
      </w:r>
      <w:r>
        <w:rPr>
          <w:rFonts w:ascii="Times New Roman" w:hAnsi="Times New Roman" w:cs="Times New Roman"/>
        </w:rPr>
        <w:t xml:space="preserve"> infection. (*P&lt;0.05 vs. control, **P&lt;0.01 vs. control, and ***P&lt;0.001 vs. control)</w:t>
      </w:r>
    </w:p>
    <w:p w:rsidR="00041E9A" w:rsidRDefault="00041E9A" w:rsidP="00041E9A">
      <w:pPr>
        <w:widowControl/>
        <w:wordWrap/>
        <w:autoSpaceDE/>
        <w:spacing w:after="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S2. Suppression of CDX1 in gastric cancer cell lines. </w:t>
      </w: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Suppression of CDX1 in AGS and MKN28 cells did not significantly influence the cell proliferation. (B) CDX1 knockdown suppressed the invasion/migration activity. (*P&lt;0.05 vs. control, **P&lt;0.01 vs. control, and ***P&lt;0.001 vs. control)</w:t>
      </w:r>
    </w:p>
    <w:p w:rsidR="00041E9A" w:rsidRDefault="00041E9A" w:rsidP="00041E9A">
      <w:pPr>
        <w:widowControl/>
        <w:wordWrap/>
        <w:autoSpaceDE/>
        <w:spacing w:after="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S3. Expression of CDX1 and </w:t>
      </w:r>
      <w:proofErr w:type="spellStart"/>
      <w:r>
        <w:rPr>
          <w:rFonts w:ascii="Times New Roman" w:hAnsi="Times New Roman" w:cs="Times New Roman"/>
          <w:b/>
          <w:bCs/>
        </w:rPr>
        <w:t>stemness</w:t>
      </w:r>
      <w:proofErr w:type="spellEnd"/>
      <w:r>
        <w:rPr>
          <w:rFonts w:ascii="Times New Roman" w:hAnsi="Times New Roman" w:cs="Times New Roman"/>
          <w:b/>
          <w:bCs/>
        </w:rPr>
        <w:t xml:space="preserve"> markers. </w:t>
      </w: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CDX1- overexpressing spheroids had an increased CD44</w:t>
      </w:r>
      <w:r>
        <w:rPr>
          <w:rFonts w:ascii="Times New Roman" w:hAnsi="Times New Roman" w:cs="Times New Roman"/>
          <w:vertAlign w:val="superscript"/>
        </w:rPr>
        <w:t xml:space="preserve">+ </w:t>
      </w:r>
      <w:r>
        <w:rPr>
          <w:rFonts w:ascii="Times New Roman" w:hAnsi="Times New Roman" w:cs="Times New Roman"/>
        </w:rPr>
        <w:t xml:space="preserve">cell subpopulation. (B and C) Expression of </w:t>
      </w:r>
      <w:proofErr w:type="spellStart"/>
      <w:r>
        <w:rPr>
          <w:rFonts w:ascii="Times New Roman" w:hAnsi="Times New Roman" w:cs="Times New Roman"/>
        </w:rPr>
        <w:t>stemness</w:t>
      </w:r>
      <w:proofErr w:type="spellEnd"/>
      <w:r>
        <w:rPr>
          <w:rFonts w:ascii="Times New Roman" w:hAnsi="Times New Roman" w:cs="Times New Roman"/>
        </w:rPr>
        <w:t xml:space="preserve"> markers was more prominent in HFE 145, AGS, and MKN28 spheroids than cells cultured in monolayers.</w:t>
      </w:r>
    </w:p>
    <w:p w:rsidR="00041E9A" w:rsidRDefault="00041E9A" w:rsidP="00041E9A">
      <w:pPr>
        <w:widowControl/>
        <w:wordWrap/>
        <w:autoSpaceDE/>
        <w:spacing w:after="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Figure S4. Effect of metformin on CDX1-expressing cells.</w:t>
      </w:r>
      <w:r>
        <w:rPr>
          <w:rFonts w:ascii="Times New Roman" w:hAnsi="Times New Roman" w:cs="Times New Roman"/>
        </w:rPr>
        <w:t xml:space="preserve"> (A) Metformin suppressed expression of CDX1 and intestinal marker SI, (B) inhibited invasion/migration activity, and (C) decreased expression of EMT-associated proteins. (D) Invasion/migration </w:t>
      </w:r>
      <w:r>
        <w:rPr>
          <w:rFonts w:ascii="Times New Roman" w:hAnsi="Times New Roman" w:cs="Times New Roman"/>
        </w:rPr>
        <w:lastRenderedPageBreak/>
        <w:t>activity was more prominent in spheroids compared to AGS and MKN28 cells cultured in monolayers. (*P&lt;0.05 vs. control, **P&lt;0.01 vs. control, and ***P&lt;0.001 vs. control)</w:t>
      </w:r>
    </w:p>
    <w:p w:rsidR="00041E9A" w:rsidRDefault="00041E9A" w:rsidP="00041E9A">
      <w:pPr>
        <w:widowControl/>
        <w:wordWrap/>
        <w:autoSpaceDE/>
        <w:spacing w:after="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S5. CDX1 suppression and the effect of chemotherapeutic agents. </w:t>
      </w:r>
      <w:r>
        <w:rPr>
          <w:rFonts w:ascii="Times New Roman" w:hAnsi="Times New Roman" w:cs="Times New Roman"/>
        </w:rPr>
        <w:t>(A) AGS spheroids were more chemo-resistant than monolayer AGS cells. (B) No significant change in the weights of xenograft animals with the use of shCDX1 was observed at day 15 compared to day 1. (*P&lt;0.05 vs. control, **P&lt;0.01 vs. control, and ***P&lt;0.001 vs. control)</w:t>
      </w:r>
    </w:p>
    <w:p w:rsidR="00687919" w:rsidRDefault="00687919">
      <w:bookmarkStart w:id="0" w:name="_GoBack"/>
      <w:bookmarkEnd w:id="0"/>
    </w:p>
    <w:sectPr w:rsidR="0068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9A"/>
    <w:rsid w:val="00041E9A"/>
    <w:rsid w:val="006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6909F-C8E9-4E6E-A4F8-FBF4AD76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E9A"/>
    <w:pPr>
      <w:widowControl w:val="0"/>
      <w:wordWrap w:val="0"/>
      <w:autoSpaceDE w:val="0"/>
      <w:autoSpaceDN w:val="0"/>
      <w:spacing w:line="256" w:lineRule="auto"/>
      <w:jc w:val="both"/>
    </w:pPr>
    <w:rPr>
      <w:rFonts w:ascii="Arial" w:eastAsia="Malgun Gothic" w:hAnsi="Arial" w:cs="Ari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Quann, Karen</dc:creator>
  <cp:keywords/>
  <dc:description/>
  <cp:lastModifiedBy>Quann, Karen</cp:lastModifiedBy>
  <cp:revision>1</cp:revision>
  <dcterms:created xsi:type="dcterms:W3CDTF">2019-07-31T18:15:00Z</dcterms:created>
  <dcterms:modified xsi:type="dcterms:W3CDTF">2019-07-31T18:15:00Z</dcterms:modified>
</cp:coreProperties>
</file>