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72BDF" w14:textId="019CDF80" w:rsidR="00B16F99" w:rsidRPr="00DC623A" w:rsidRDefault="00B16F99" w:rsidP="006026A8">
      <w:pPr>
        <w:spacing w:line="360" w:lineRule="auto"/>
        <w:rPr>
          <w:rFonts w:ascii="Arial" w:hAnsi="Arial" w:cs="Arial"/>
          <w:b/>
          <w:sz w:val="28"/>
          <w:szCs w:val="28"/>
        </w:rPr>
      </w:pPr>
      <w:r w:rsidRPr="00DC623A">
        <w:rPr>
          <w:rFonts w:ascii="Arial" w:hAnsi="Arial" w:cs="Arial"/>
          <w:b/>
          <w:sz w:val="28"/>
          <w:szCs w:val="28"/>
        </w:rPr>
        <w:t xml:space="preserve">Supplementary </w:t>
      </w:r>
      <w:r w:rsidR="00C45E63">
        <w:rPr>
          <w:rFonts w:ascii="Arial" w:hAnsi="Arial" w:cs="Arial" w:hint="eastAsia"/>
          <w:b/>
          <w:sz w:val="28"/>
          <w:szCs w:val="28"/>
          <w:lang w:eastAsia="ja-JP"/>
        </w:rPr>
        <w:t>Data</w:t>
      </w:r>
      <w:r w:rsidRPr="00DC623A">
        <w:rPr>
          <w:rFonts w:ascii="Arial" w:hAnsi="Arial" w:cs="Arial"/>
          <w:b/>
          <w:sz w:val="28"/>
          <w:szCs w:val="28"/>
        </w:rPr>
        <w:t xml:space="preserve"> for</w:t>
      </w:r>
    </w:p>
    <w:p w14:paraId="2A0AEDEA" w14:textId="77777777" w:rsidR="006026A8" w:rsidRDefault="006026A8" w:rsidP="006026A8">
      <w:pPr>
        <w:spacing w:line="360" w:lineRule="auto"/>
        <w:rPr>
          <w:rFonts w:ascii="Arial" w:hAnsi="Arial" w:cs="Arial"/>
          <w:sz w:val="28"/>
          <w:szCs w:val="28"/>
        </w:rPr>
      </w:pPr>
      <w:r w:rsidRPr="00012C5A">
        <w:rPr>
          <w:rFonts w:ascii="Arial" w:hAnsi="Arial" w:cs="Arial"/>
          <w:sz w:val="28"/>
          <w:szCs w:val="28"/>
        </w:rPr>
        <w:t>Whole body PET imaging of T cell response against Glioblastoma</w:t>
      </w:r>
    </w:p>
    <w:p w14:paraId="7A855481" w14:textId="6807C5CF" w:rsidR="0013105A" w:rsidRDefault="0013105A" w:rsidP="00FF19C2">
      <w:pPr>
        <w:rPr>
          <w:rFonts w:ascii="Arial" w:hAnsi="Arial" w:cs="Arial"/>
          <w:b/>
          <w:bCs/>
        </w:rPr>
      </w:pPr>
    </w:p>
    <w:p w14:paraId="3D61EF64" w14:textId="7B8A1750" w:rsidR="0013105A" w:rsidRDefault="0013105A" w:rsidP="0013105A">
      <w:pPr>
        <w:rPr>
          <w:rFonts w:ascii="Arial" w:hAnsi="Arial" w:cs="Arial"/>
          <w:b/>
          <w:bCs/>
          <w:sz w:val="20"/>
        </w:rPr>
      </w:pPr>
      <w:r>
        <w:rPr>
          <w:rFonts w:ascii="Arial" w:hAnsi="Arial" w:cs="Arial"/>
          <w:b/>
          <w:bCs/>
          <w:color w:val="000000"/>
          <w:sz w:val="20"/>
        </w:rPr>
        <w:t xml:space="preserve">Supple </w:t>
      </w:r>
      <w:r w:rsidRPr="00895A7C">
        <w:rPr>
          <w:rFonts w:ascii="Arial" w:hAnsi="Arial" w:cs="Arial"/>
          <w:b/>
          <w:bCs/>
          <w:color w:val="000000"/>
          <w:sz w:val="20"/>
        </w:rPr>
        <w:t>Fig.</w:t>
      </w:r>
      <w:r>
        <w:rPr>
          <w:rFonts w:ascii="Arial" w:hAnsi="Arial" w:cs="Arial"/>
          <w:b/>
          <w:bCs/>
          <w:color w:val="000000"/>
          <w:sz w:val="20"/>
        </w:rPr>
        <w:t>1</w:t>
      </w:r>
      <w:r>
        <w:rPr>
          <w:rFonts w:ascii="Arial" w:hAnsi="Arial" w:cs="Arial"/>
          <w:color w:val="000000"/>
          <w:sz w:val="20"/>
        </w:rPr>
        <w:t xml:space="preserve">. </w:t>
      </w:r>
      <w:r w:rsidRPr="004977EC">
        <w:rPr>
          <w:rFonts w:ascii="Arial" w:hAnsi="Arial" w:cs="Arial"/>
          <w:sz w:val="20"/>
          <w:vertAlign w:val="superscript"/>
        </w:rPr>
        <w:t>8</w:t>
      </w:r>
      <w:r w:rsidRPr="004977EC">
        <w:rPr>
          <w:rFonts w:ascii="Arial" w:hAnsi="Arial" w:cs="Arial"/>
          <w:b/>
          <w:bCs/>
          <w:sz w:val="20"/>
          <w:vertAlign w:val="superscript"/>
        </w:rPr>
        <w:t>9</w:t>
      </w:r>
      <w:r w:rsidRPr="004977EC">
        <w:rPr>
          <w:rFonts w:ascii="Arial" w:hAnsi="Arial" w:cs="Arial"/>
          <w:b/>
          <w:bCs/>
          <w:sz w:val="20"/>
        </w:rPr>
        <w:t>Zr-DFO-OX40 mAb PET in different time points</w:t>
      </w:r>
      <w:r>
        <w:rPr>
          <w:rFonts w:ascii="Arial" w:hAnsi="Arial" w:cs="Arial"/>
          <w:b/>
          <w:bCs/>
          <w:sz w:val="20"/>
        </w:rPr>
        <w:t xml:space="preserve"> post vaccination</w:t>
      </w:r>
      <w:r w:rsidRPr="004977EC">
        <w:rPr>
          <w:rFonts w:ascii="Arial" w:hAnsi="Arial" w:cs="Arial"/>
          <w:b/>
          <w:bCs/>
          <w:sz w:val="20"/>
        </w:rPr>
        <w:t>.</w:t>
      </w:r>
    </w:p>
    <w:p w14:paraId="40A6752E" w14:textId="77777777" w:rsidR="0013105A" w:rsidRPr="008066D7" w:rsidRDefault="0013105A" w:rsidP="0013105A">
      <w:pPr>
        <w:rPr>
          <w:rFonts w:ascii="Arial" w:hAnsi="Arial" w:cs="Arial"/>
          <w:b/>
          <w:bCs/>
          <w:sz w:val="20"/>
        </w:rPr>
      </w:pPr>
    </w:p>
    <w:p w14:paraId="0D3C743D" w14:textId="41DD109A" w:rsidR="0013105A" w:rsidRDefault="0013105A" w:rsidP="0013105A">
      <w:pPr>
        <w:rPr>
          <w:rFonts w:ascii="Arial" w:hAnsi="Arial" w:cs="Arial"/>
          <w:b/>
          <w:bCs/>
        </w:rPr>
      </w:pPr>
      <w:r w:rsidRPr="004977EC">
        <w:rPr>
          <w:rFonts w:ascii="Arial" w:hAnsi="Arial" w:cs="Arial"/>
          <w:sz w:val="20"/>
        </w:rPr>
        <w:t xml:space="preserve">(A) To </w:t>
      </w:r>
      <w:r w:rsidRPr="004977EC">
        <w:rPr>
          <w:rFonts w:ascii="Arial" w:hAnsi="Arial" w:cs="Arial"/>
          <w:sz w:val="20"/>
          <w:lang w:eastAsia="ja-JP"/>
        </w:rPr>
        <w:t>explore the optimal timing to perform</w:t>
      </w:r>
      <w:r w:rsidRPr="004977EC">
        <w:rPr>
          <w:rFonts w:ascii="Arial" w:hAnsi="Arial" w:cs="Arial"/>
          <w:sz w:val="20"/>
        </w:rPr>
        <w:t xml:space="preserve"> </w:t>
      </w:r>
      <w:r w:rsidRPr="004977EC">
        <w:rPr>
          <w:rFonts w:ascii="Arial" w:hAnsi="Arial" w:cs="Arial"/>
          <w:sz w:val="20"/>
          <w:vertAlign w:val="superscript"/>
        </w:rPr>
        <w:t>89</w:t>
      </w:r>
      <w:r w:rsidRPr="004977EC">
        <w:rPr>
          <w:rFonts w:ascii="Arial" w:hAnsi="Arial" w:cs="Arial"/>
          <w:sz w:val="20"/>
        </w:rPr>
        <w:t>Zr-DFO-OX40 mAb PET</w:t>
      </w:r>
      <w:r>
        <w:rPr>
          <w:rFonts w:ascii="Arial" w:hAnsi="Arial" w:cs="Arial"/>
          <w:sz w:val="20"/>
        </w:rPr>
        <w:t xml:space="preserve"> post vaccination</w:t>
      </w:r>
      <w:r w:rsidRPr="004977EC">
        <w:rPr>
          <w:rFonts w:ascii="Arial" w:hAnsi="Arial" w:cs="Arial"/>
          <w:sz w:val="20"/>
        </w:rPr>
        <w:t>, early time point PET studies were conducted (The schedule in the main manuscript was described as late time point here</w:t>
      </w:r>
      <w:r>
        <w:rPr>
          <w:rFonts w:ascii="Arial" w:hAnsi="Arial" w:cs="Arial"/>
          <w:sz w:val="20"/>
        </w:rPr>
        <w:t>, in which PET imaging was performed on day 3 post vaccination/day 1 post tracer injection</w:t>
      </w:r>
      <w:r w:rsidRPr="004977EC">
        <w:rPr>
          <w:rFonts w:ascii="Arial" w:hAnsi="Arial" w:cs="Arial"/>
          <w:sz w:val="20"/>
        </w:rPr>
        <w:t xml:space="preserve">). </w:t>
      </w:r>
      <w:r w:rsidRPr="004977EC">
        <w:rPr>
          <w:rFonts w:ascii="Arial" w:hAnsi="Arial" w:cs="Arial"/>
          <w:sz w:val="20"/>
          <w:vertAlign w:val="superscript"/>
        </w:rPr>
        <w:t>89</w:t>
      </w:r>
      <w:r w:rsidRPr="004977EC">
        <w:rPr>
          <w:rFonts w:ascii="Arial" w:hAnsi="Arial" w:cs="Arial"/>
          <w:sz w:val="20"/>
        </w:rPr>
        <w:t xml:space="preserve">Zr-DFO-OX40 mAb was injected on the following day of vaccine treatment, and PET scanning was performed on day 1, 2, and 4. (B) Representative images of vaccinated and control mice in early and late time point imaging. Lymphatic organs were not visualized in both vaccinated and control groups in early time point imaging. (C) No significant difference in </w:t>
      </w:r>
      <w:r w:rsidRPr="004977EC">
        <w:rPr>
          <w:rFonts w:ascii="Arial" w:hAnsi="Arial" w:cs="Arial"/>
          <w:sz w:val="20"/>
          <w:vertAlign w:val="superscript"/>
        </w:rPr>
        <w:t>89</w:t>
      </w:r>
      <w:r w:rsidRPr="004977EC">
        <w:rPr>
          <w:rFonts w:ascii="Arial" w:hAnsi="Arial" w:cs="Arial"/>
          <w:sz w:val="20"/>
        </w:rPr>
        <w:t>Zr-DFO-OX40 mAb uptake was seen through day 4 between vaccinated and control groups.</w:t>
      </w:r>
      <w:r>
        <w:rPr>
          <w:rFonts w:ascii="Arial" w:hAnsi="Arial" w:cs="Arial"/>
          <w:sz w:val="20"/>
        </w:rPr>
        <w:t xml:space="preserve"> Ax, axillary lymph node; Cer, cervical lymph node. </w:t>
      </w:r>
      <w:r>
        <w:rPr>
          <w:rFonts w:ascii="Arial" w:hAnsi="Arial" w:cs="Arial"/>
          <w:color w:val="000000"/>
          <w:sz w:val="20"/>
        </w:rPr>
        <w:t>Data are shown with mean ± SEM.</w:t>
      </w:r>
    </w:p>
    <w:p w14:paraId="03085B21" w14:textId="798ED63F" w:rsidR="00FF19C2" w:rsidRPr="005B0B3F" w:rsidRDefault="00FF19C2" w:rsidP="00FF19C2">
      <w:pPr>
        <w:rPr>
          <w:rFonts w:ascii="Arial" w:hAnsi="Arial" w:cs="Arial"/>
          <w:sz w:val="20"/>
        </w:rPr>
      </w:pPr>
    </w:p>
    <w:p w14:paraId="47D4D929" w14:textId="77777777" w:rsidR="00FF19C2" w:rsidRDefault="00FF19C2" w:rsidP="00FF19C2">
      <w:pPr>
        <w:rPr>
          <w:rFonts w:ascii="Arial" w:hAnsi="Arial" w:cs="Arial"/>
          <w:b/>
          <w:bCs/>
        </w:rPr>
      </w:pPr>
    </w:p>
    <w:p w14:paraId="3295764D" w14:textId="45B26858" w:rsidR="00FF19C2" w:rsidRPr="001A0345" w:rsidRDefault="006C5E84" w:rsidP="001A0345">
      <w:pPr>
        <w:rPr>
          <w:rFonts w:ascii="Arial" w:hAnsi="Arial" w:cs="Arial"/>
          <w:b/>
          <w:bCs/>
          <w:sz w:val="20"/>
        </w:rPr>
      </w:pPr>
      <w:r>
        <w:rPr>
          <w:rFonts w:ascii="Arial" w:hAnsi="Arial" w:cs="Arial"/>
          <w:b/>
          <w:bCs/>
          <w:color w:val="000000"/>
          <w:sz w:val="20"/>
        </w:rPr>
        <w:t xml:space="preserve">Supple </w:t>
      </w:r>
      <w:r w:rsidRPr="00895A7C">
        <w:rPr>
          <w:rFonts w:ascii="Arial" w:hAnsi="Arial" w:cs="Arial"/>
          <w:b/>
          <w:bCs/>
          <w:color w:val="000000"/>
          <w:sz w:val="20"/>
        </w:rPr>
        <w:t>Fig.</w:t>
      </w:r>
      <w:r>
        <w:rPr>
          <w:rFonts w:ascii="Arial" w:hAnsi="Arial" w:cs="Arial"/>
          <w:b/>
          <w:bCs/>
          <w:color w:val="000000"/>
          <w:sz w:val="20"/>
        </w:rPr>
        <w:t>2</w:t>
      </w:r>
      <w:r w:rsidR="001A4691" w:rsidRPr="001A4691">
        <w:rPr>
          <w:rFonts w:ascii="Arial" w:hAnsi="Arial" w:cs="Arial"/>
          <w:b/>
          <w:bCs/>
          <w:sz w:val="20"/>
        </w:rPr>
        <w:t xml:space="preserve"> </w:t>
      </w:r>
      <w:r w:rsidR="001A4691" w:rsidRPr="004977EC">
        <w:rPr>
          <w:rFonts w:ascii="Arial" w:hAnsi="Arial" w:cs="Arial"/>
          <w:b/>
          <w:bCs/>
          <w:sz w:val="20"/>
        </w:rPr>
        <w:t>Calculation of Total Lesion Immune response (TLI</w:t>
      </w:r>
      <w:r w:rsidR="001A4691">
        <w:rPr>
          <w:rFonts w:ascii="Arial" w:hAnsi="Arial" w:cs="Arial"/>
          <w:b/>
          <w:bCs/>
          <w:sz w:val="20"/>
        </w:rPr>
        <w:t>R</w:t>
      </w:r>
      <w:r w:rsidR="001A4691" w:rsidRPr="004977EC">
        <w:rPr>
          <w:rFonts w:ascii="Arial" w:hAnsi="Arial" w:cs="Arial"/>
          <w:b/>
          <w:bCs/>
          <w:sz w:val="20"/>
        </w:rPr>
        <w:t>).</w:t>
      </w:r>
    </w:p>
    <w:p w14:paraId="248EC1D4" w14:textId="214CA913" w:rsidR="001A4691" w:rsidRDefault="001A4691" w:rsidP="00FF19C2">
      <w:pPr>
        <w:rPr>
          <w:rFonts w:ascii="Arial" w:hAnsi="Arial" w:cs="Arial"/>
          <w:sz w:val="20"/>
        </w:rPr>
      </w:pPr>
    </w:p>
    <w:p w14:paraId="27A5431A" w14:textId="401C9BB8" w:rsidR="00FF19C2" w:rsidRPr="00980C22" w:rsidRDefault="00FF19C2" w:rsidP="00FF19C2">
      <w:pPr>
        <w:rPr>
          <w:rFonts w:ascii="Arial" w:hAnsi="Arial" w:cs="Arial"/>
          <w:sz w:val="20"/>
        </w:rPr>
      </w:pPr>
      <w:r w:rsidRPr="004977EC">
        <w:rPr>
          <w:rFonts w:ascii="Arial" w:hAnsi="Arial" w:cs="Arial"/>
          <w:sz w:val="20"/>
        </w:rPr>
        <w:t xml:space="preserve">When </w:t>
      </w:r>
      <w:r w:rsidRPr="004977EC">
        <w:rPr>
          <w:rFonts w:ascii="Arial" w:hAnsi="Arial" w:cs="Arial" w:hint="eastAsia"/>
          <w:sz w:val="20"/>
        </w:rPr>
        <w:t>3</w:t>
      </w:r>
      <w:r w:rsidRPr="004977EC">
        <w:rPr>
          <w:rFonts w:ascii="Arial" w:hAnsi="Arial" w:cs="Arial"/>
          <w:sz w:val="20"/>
        </w:rPr>
        <w:t xml:space="preserve">D volume of interest (VOI) was placed to include a targeted lesion (green circle), </w:t>
      </w:r>
      <w:proofErr w:type="spellStart"/>
      <w:r w:rsidRPr="004977EC">
        <w:rPr>
          <w:rFonts w:ascii="Arial" w:hAnsi="Arial" w:cs="Arial"/>
          <w:sz w:val="20"/>
        </w:rPr>
        <w:t>Osirix</w:t>
      </w:r>
      <w:proofErr w:type="spellEnd"/>
      <w:r w:rsidRPr="004977EC">
        <w:rPr>
          <w:rFonts w:ascii="Arial" w:hAnsi="Arial" w:cs="Arial"/>
          <w:sz w:val="20"/>
        </w:rPr>
        <w:t xml:space="preserve"> MD software automatically calculates the volume above 42% of the maximum uptake within the VOI (purple area)</w:t>
      </w:r>
      <w:r>
        <w:rPr>
          <w:rFonts w:ascii="Arial" w:hAnsi="Arial" w:cs="Arial"/>
          <w:sz w:val="20"/>
        </w:rPr>
        <w:t>. The threshold 42% was applied following the majority of previous clinical PET studies</w:t>
      </w:r>
      <w:r w:rsidRPr="004977EC">
        <w:rPr>
          <w:rFonts w:ascii="Arial" w:hAnsi="Arial" w:cs="Arial"/>
          <w:sz w:val="20"/>
        </w:rPr>
        <w:t>. TLI</w:t>
      </w:r>
      <w:r>
        <w:rPr>
          <w:rFonts w:ascii="Arial" w:hAnsi="Arial" w:cs="Arial"/>
          <w:sz w:val="20"/>
        </w:rPr>
        <w:t>R</w:t>
      </w:r>
      <w:r w:rsidRPr="004977EC">
        <w:rPr>
          <w:rFonts w:ascii="Arial" w:hAnsi="Arial" w:cs="Arial"/>
          <w:sz w:val="20"/>
        </w:rPr>
        <w:t xml:space="preserve"> was defined as mean tracer uptake within the targeted VOI multip</w:t>
      </w:r>
      <w:r w:rsidRPr="004977EC">
        <w:rPr>
          <w:rFonts w:ascii="Arial" w:hAnsi="Arial" w:cs="Arial"/>
          <w:sz w:val="20"/>
          <w:lang w:eastAsia="ja-JP"/>
        </w:rPr>
        <w:t>lied by volume above 42% of maximum uptake.</w:t>
      </w:r>
      <w:r w:rsidRPr="004977EC">
        <w:rPr>
          <w:rFonts w:ascii="Arial" w:hAnsi="Arial" w:cs="Arial" w:hint="eastAsia"/>
          <w:sz w:val="20"/>
          <w:lang w:eastAsia="ja-JP"/>
        </w:rPr>
        <w:t xml:space="preserve"> </w:t>
      </w:r>
    </w:p>
    <w:p w14:paraId="08CAAD74" w14:textId="77777777" w:rsidR="005D088E" w:rsidRPr="00DC623A" w:rsidRDefault="005D088E" w:rsidP="001C0975">
      <w:pPr>
        <w:pStyle w:val="SMText"/>
        <w:ind w:firstLine="0"/>
        <w:rPr>
          <w:rFonts w:ascii="Arial" w:hAnsi="Arial" w:cs="Arial"/>
          <w:sz w:val="20"/>
        </w:rPr>
      </w:pPr>
    </w:p>
    <w:p w14:paraId="6A341F04" w14:textId="13CF615E" w:rsidR="00C50C6D" w:rsidRDefault="00C50C6D" w:rsidP="00477182">
      <w:pPr>
        <w:pStyle w:val="SMcaption"/>
        <w:rPr>
          <w:rFonts w:ascii="Arial" w:hAnsi="Arial" w:cs="Arial"/>
          <w:sz w:val="20"/>
        </w:rPr>
      </w:pPr>
    </w:p>
    <w:p w14:paraId="15D704D4" w14:textId="74E0FCE6" w:rsidR="00FF19C2" w:rsidRDefault="00FF19C2" w:rsidP="00477182">
      <w:pPr>
        <w:pStyle w:val="SMcaption"/>
        <w:rPr>
          <w:rFonts w:ascii="Arial" w:hAnsi="Arial" w:cs="Arial"/>
          <w:sz w:val="20"/>
        </w:rPr>
      </w:pPr>
    </w:p>
    <w:p w14:paraId="7652F31F" w14:textId="13AEAFA5" w:rsidR="00FF19C2" w:rsidRDefault="00FF19C2" w:rsidP="00477182">
      <w:pPr>
        <w:pStyle w:val="SMcaption"/>
        <w:rPr>
          <w:rFonts w:ascii="Arial" w:hAnsi="Arial" w:cs="Arial"/>
          <w:sz w:val="20"/>
        </w:rPr>
      </w:pPr>
    </w:p>
    <w:p w14:paraId="2F950750" w14:textId="03464EA6" w:rsidR="001A4691" w:rsidRDefault="001A4691" w:rsidP="00477182">
      <w:pPr>
        <w:pStyle w:val="SMcaption"/>
        <w:rPr>
          <w:rFonts w:ascii="Arial" w:hAnsi="Arial" w:cs="Arial"/>
          <w:sz w:val="20"/>
        </w:rPr>
      </w:pPr>
    </w:p>
    <w:p w14:paraId="3B43EDD4" w14:textId="3807A859" w:rsidR="001A4691" w:rsidRDefault="001A4691" w:rsidP="00477182">
      <w:pPr>
        <w:pStyle w:val="SMcaption"/>
        <w:rPr>
          <w:rFonts w:ascii="Arial" w:hAnsi="Arial" w:cs="Arial"/>
          <w:sz w:val="20"/>
        </w:rPr>
      </w:pPr>
    </w:p>
    <w:p w14:paraId="18D23002" w14:textId="77777777" w:rsidR="001A4691" w:rsidRPr="00DC623A" w:rsidRDefault="001A4691" w:rsidP="00477182">
      <w:pPr>
        <w:pStyle w:val="SMcaption"/>
        <w:rPr>
          <w:rFonts w:ascii="Arial" w:hAnsi="Arial" w:cs="Arial"/>
          <w:sz w:val="20"/>
        </w:rPr>
      </w:pPr>
    </w:p>
    <w:p w14:paraId="0AA738C7" w14:textId="77777777" w:rsidR="00030840" w:rsidRPr="00DC623A" w:rsidRDefault="00030840" w:rsidP="00477182">
      <w:pPr>
        <w:pStyle w:val="SMcaption"/>
        <w:rPr>
          <w:rFonts w:ascii="Arial" w:hAnsi="Arial" w:cs="Arial"/>
          <w:sz w:val="20"/>
        </w:rPr>
      </w:pPr>
    </w:p>
    <w:sectPr w:rsidR="00030840" w:rsidRPr="00DC623A" w:rsidSect="00F125EE">
      <w:headerReference w:type="default" r:id="rId8"/>
      <w:footerReference w:type="default" r:id="rId9"/>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D7A28" w14:textId="77777777" w:rsidR="002B5372" w:rsidRDefault="002B5372">
      <w:r>
        <w:separator/>
      </w:r>
    </w:p>
  </w:endnote>
  <w:endnote w:type="continuationSeparator" w:id="0">
    <w:p w14:paraId="232C0BCA" w14:textId="77777777" w:rsidR="002B5372" w:rsidRDefault="002B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6907" w14:textId="7EFF20DE" w:rsidR="00F125EE" w:rsidRDefault="00114193">
    <w:pPr>
      <w:pStyle w:val="Footer"/>
      <w:jc w:val="right"/>
    </w:pPr>
    <w:r>
      <w:fldChar w:fldCharType="begin"/>
    </w:r>
    <w:r>
      <w:instrText xml:space="preserve"> PAGE   \* MERGEFORMAT </w:instrText>
    </w:r>
    <w:r>
      <w:fldChar w:fldCharType="separate"/>
    </w:r>
    <w:r w:rsidR="00DC623A">
      <w:rPr>
        <w:noProof/>
      </w:rPr>
      <w:t>1</w:t>
    </w:r>
    <w:r>
      <w:fldChar w:fldCharType="end"/>
    </w:r>
  </w:p>
  <w:p w14:paraId="180EEFF6" w14:textId="77777777" w:rsidR="00F125EE" w:rsidRDefault="00F12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EBFF6" w14:textId="77777777" w:rsidR="002B5372" w:rsidRDefault="002B5372">
      <w:r>
        <w:separator/>
      </w:r>
    </w:p>
  </w:footnote>
  <w:footnote w:type="continuationSeparator" w:id="0">
    <w:p w14:paraId="523269DC" w14:textId="77777777" w:rsidR="002B5372" w:rsidRDefault="002B5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0DC9" w14:textId="77777777" w:rsidR="003A2FD8" w:rsidRPr="005001AC" w:rsidRDefault="003A2FD8" w:rsidP="005001AC">
    <w:pPr>
      <w:jc w:val="right"/>
      <w:rPr>
        <w:sz w:val="20"/>
      </w:rPr>
    </w:pPr>
  </w:p>
  <w:p w14:paraId="0091C365" w14:textId="77777777" w:rsidR="003A2FD8" w:rsidRDefault="003A2F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10F80"/>
    <w:multiLevelType w:val="hybridMultilevel"/>
    <w:tmpl w:val="C220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963FF"/>
    <w:multiLevelType w:val="hybridMultilevel"/>
    <w:tmpl w:val="43A20FFE"/>
    <w:lvl w:ilvl="0" w:tplc="041866E8">
      <w:start w:val="20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D37E48"/>
    <w:multiLevelType w:val="hybridMultilevel"/>
    <w:tmpl w:val="D6D2B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D4926"/>
    <w:multiLevelType w:val="hybridMultilevel"/>
    <w:tmpl w:val="2FCC0058"/>
    <w:lvl w:ilvl="0" w:tplc="7FF6799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116BDC"/>
    <w:multiLevelType w:val="hybridMultilevel"/>
    <w:tmpl w:val="1D98BF46"/>
    <w:lvl w:ilvl="0" w:tplc="F40C2976">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oNotDisplayPageBoundaries/>
  <w:bordersDoNotSurroundHeader/>
  <w:bordersDoNotSurroundFooter/>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0F"/>
    <w:rsid w:val="000004B2"/>
    <w:rsid w:val="00015F74"/>
    <w:rsid w:val="00017C53"/>
    <w:rsid w:val="00030840"/>
    <w:rsid w:val="00065EBD"/>
    <w:rsid w:val="00083B44"/>
    <w:rsid w:val="000850DC"/>
    <w:rsid w:val="000A41E4"/>
    <w:rsid w:val="000C2771"/>
    <w:rsid w:val="000D5954"/>
    <w:rsid w:val="000F0DCE"/>
    <w:rsid w:val="00112C5B"/>
    <w:rsid w:val="00114193"/>
    <w:rsid w:val="00115A38"/>
    <w:rsid w:val="0011687B"/>
    <w:rsid w:val="00124F82"/>
    <w:rsid w:val="0013105A"/>
    <w:rsid w:val="0016337A"/>
    <w:rsid w:val="00164269"/>
    <w:rsid w:val="001A0345"/>
    <w:rsid w:val="001A1BDE"/>
    <w:rsid w:val="001A4691"/>
    <w:rsid w:val="001C0520"/>
    <w:rsid w:val="001C0975"/>
    <w:rsid w:val="001F0876"/>
    <w:rsid w:val="001F167C"/>
    <w:rsid w:val="001F5E91"/>
    <w:rsid w:val="002077B9"/>
    <w:rsid w:val="00262D72"/>
    <w:rsid w:val="00294FBB"/>
    <w:rsid w:val="002B5372"/>
    <w:rsid w:val="002C030F"/>
    <w:rsid w:val="002C667A"/>
    <w:rsid w:val="00325D90"/>
    <w:rsid w:val="00331D75"/>
    <w:rsid w:val="00332BFB"/>
    <w:rsid w:val="00355362"/>
    <w:rsid w:val="00363E44"/>
    <w:rsid w:val="00387114"/>
    <w:rsid w:val="00395E86"/>
    <w:rsid w:val="00397983"/>
    <w:rsid w:val="003A2FD8"/>
    <w:rsid w:val="003B40E6"/>
    <w:rsid w:val="003F6E14"/>
    <w:rsid w:val="00405336"/>
    <w:rsid w:val="004571D5"/>
    <w:rsid w:val="00461D81"/>
    <w:rsid w:val="0046356B"/>
    <w:rsid w:val="00477182"/>
    <w:rsid w:val="004779CB"/>
    <w:rsid w:val="00493EC6"/>
    <w:rsid w:val="004A159F"/>
    <w:rsid w:val="004B2F21"/>
    <w:rsid w:val="004E42D8"/>
    <w:rsid w:val="004E7BA2"/>
    <w:rsid w:val="004F7EDF"/>
    <w:rsid w:val="005001AC"/>
    <w:rsid w:val="00527D71"/>
    <w:rsid w:val="005607DD"/>
    <w:rsid w:val="005768ED"/>
    <w:rsid w:val="005A558C"/>
    <w:rsid w:val="005D088E"/>
    <w:rsid w:val="005E28F8"/>
    <w:rsid w:val="005E6513"/>
    <w:rsid w:val="006026A8"/>
    <w:rsid w:val="006069C6"/>
    <w:rsid w:val="00611A19"/>
    <w:rsid w:val="006140DF"/>
    <w:rsid w:val="0062428D"/>
    <w:rsid w:val="00651114"/>
    <w:rsid w:val="0065772A"/>
    <w:rsid w:val="00670299"/>
    <w:rsid w:val="00691985"/>
    <w:rsid w:val="006A1B64"/>
    <w:rsid w:val="006C5E84"/>
    <w:rsid w:val="006D169A"/>
    <w:rsid w:val="006E3E68"/>
    <w:rsid w:val="007108F5"/>
    <w:rsid w:val="00713E5B"/>
    <w:rsid w:val="007402FC"/>
    <w:rsid w:val="007411A1"/>
    <w:rsid w:val="00763345"/>
    <w:rsid w:val="007843C9"/>
    <w:rsid w:val="00797F24"/>
    <w:rsid w:val="007B5946"/>
    <w:rsid w:val="007F5297"/>
    <w:rsid w:val="00807D35"/>
    <w:rsid w:val="00820484"/>
    <w:rsid w:val="00824DF3"/>
    <w:rsid w:val="00840BB2"/>
    <w:rsid w:val="00847C7B"/>
    <w:rsid w:val="00885C9B"/>
    <w:rsid w:val="008C069B"/>
    <w:rsid w:val="008D5D2A"/>
    <w:rsid w:val="00914B63"/>
    <w:rsid w:val="009258B8"/>
    <w:rsid w:val="009354F3"/>
    <w:rsid w:val="00943C3C"/>
    <w:rsid w:val="009447DC"/>
    <w:rsid w:val="009519CF"/>
    <w:rsid w:val="00961BA5"/>
    <w:rsid w:val="009743A9"/>
    <w:rsid w:val="009A5287"/>
    <w:rsid w:val="009A670E"/>
    <w:rsid w:val="009B2AC5"/>
    <w:rsid w:val="009B7984"/>
    <w:rsid w:val="009F4BED"/>
    <w:rsid w:val="009F7D93"/>
    <w:rsid w:val="00A2128E"/>
    <w:rsid w:val="00A3403B"/>
    <w:rsid w:val="00A47FFE"/>
    <w:rsid w:val="00A51A12"/>
    <w:rsid w:val="00A627D4"/>
    <w:rsid w:val="00A72B81"/>
    <w:rsid w:val="00A74DA2"/>
    <w:rsid w:val="00AB744E"/>
    <w:rsid w:val="00AC15B4"/>
    <w:rsid w:val="00AD499C"/>
    <w:rsid w:val="00AE5A70"/>
    <w:rsid w:val="00B003EE"/>
    <w:rsid w:val="00B107EE"/>
    <w:rsid w:val="00B15008"/>
    <w:rsid w:val="00B16F99"/>
    <w:rsid w:val="00B36869"/>
    <w:rsid w:val="00B42F9C"/>
    <w:rsid w:val="00B43B31"/>
    <w:rsid w:val="00B44D20"/>
    <w:rsid w:val="00B47CFA"/>
    <w:rsid w:val="00B57F00"/>
    <w:rsid w:val="00B77B2A"/>
    <w:rsid w:val="00B82C22"/>
    <w:rsid w:val="00B8723B"/>
    <w:rsid w:val="00B93DBA"/>
    <w:rsid w:val="00B9440A"/>
    <w:rsid w:val="00BB0825"/>
    <w:rsid w:val="00BB2D2A"/>
    <w:rsid w:val="00BD58CF"/>
    <w:rsid w:val="00C022E1"/>
    <w:rsid w:val="00C046DC"/>
    <w:rsid w:val="00C04CC1"/>
    <w:rsid w:val="00C45E63"/>
    <w:rsid w:val="00C47714"/>
    <w:rsid w:val="00C50C6D"/>
    <w:rsid w:val="00C600D9"/>
    <w:rsid w:val="00CC1384"/>
    <w:rsid w:val="00CD3720"/>
    <w:rsid w:val="00CF16C9"/>
    <w:rsid w:val="00CF1848"/>
    <w:rsid w:val="00CF5C2F"/>
    <w:rsid w:val="00D04BCF"/>
    <w:rsid w:val="00D143D9"/>
    <w:rsid w:val="00D269AB"/>
    <w:rsid w:val="00D346C2"/>
    <w:rsid w:val="00DA22DA"/>
    <w:rsid w:val="00DA59EA"/>
    <w:rsid w:val="00DC623A"/>
    <w:rsid w:val="00DD421A"/>
    <w:rsid w:val="00E257C8"/>
    <w:rsid w:val="00E37047"/>
    <w:rsid w:val="00E60D0F"/>
    <w:rsid w:val="00E9773B"/>
    <w:rsid w:val="00EA596B"/>
    <w:rsid w:val="00EC13A3"/>
    <w:rsid w:val="00EC141F"/>
    <w:rsid w:val="00EC7C85"/>
    <w:rsid w:val="00F04CD9"/>
    <w:rsid w:val="00F125EE"/>
    <w:rsid w:val="00F12E98"/>
    <w:rsid w:val="00F22029"/>
    <w:rsid w:val="00F25DEF"/>
    <w:rsid w:val="00F514EC"/>
    <w:rsid w:val="00F60CD4"/>
    <w:rsid w:val="00F630EA"/>
    <w:rsid w:val="00F7007E"/>
    <w:rsid w:val="00F70200"/>
    <w:rsid w:val="00F73193"/>
    <w:rsid w:val="00F74F95"/>
    <w:rsid w:val="00F80705"/>
    <w:rsid w:val="00FA1481"/>
    <w:rsid w:val="00FF04E3"/>
    <w:rsid w:val="00FF1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7D1EA8"/>
  <w15:docId w15:val="{44D555E4-DB32-4E4E-914C-3E579D6D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basedOn w:val="DefaultParagraphFont"/>
    <w:link w:val="Heading1"/>
    <w:semiHidden/>
    <w:rsid w:val="00FF04E3"/>
    <w:rPr>
      <w:b/>
      <w:bCs/>
      <w:kern w:val="32"/>
      <w:sz w:val="24"/>
      <w:szCs w:val="24"/>
    </w:rPr>
  </w:style>
  <w:style w:type="character" w:customStyle="1" w:styleId="Heading2Char">
    <w:name w:val="Heading 2 Char"/>
    <w:basedOn w:val="DefaultParagraphFont"/>
    <w:link w:val="Heading2"/>
    <w:semiHidden/>
    <w:rsid w:val="00FF04E3"/>
    <w:rPr>
      <w:rFonts w:ascii="Cambria" w:hAnsi="Cambria"/>
      <w:b/>
      <w:bCs/>
      <w:i/>
      <w:iCs/>
      <w:sz w:val="28"/>
      <w:szCs w:val="28"/>
    </w:rPr>
  </w:style>
  <w:style w:type="character" w:customStyle="1" w:styleId="Heading5Char">
    <w:name w:val="Heading 5 Char"/>
    <w:basedOn w:val="DefaultParagraphFont"/>
    <w:link w:val="Heading5"/>
    <w:semiHidden/>
    <w:rsid w:val="00FF04E3"/>
    <w:rPr>
      <w:rFonts w:ascii="Calibri" w:hAnsi="Calibri"/>
      <w:b/>
      <w:bCs/>
      <w:i/>
      <w:iCs/>
      <w:sz w:val="26"/>
      <w:szCs w:val="26"/>
    </w:rPr>
  </w:style>
  <w:style w:type="character" w:customStyle="1" w:styleId="Heading6Char">
    <w:name w:val="Heading 6 Char"/>
    <w:basedOn w:val="DefaultParagraphFont"/>
    <w:link w:val="Heading6"/>
    <w:semiHidden/>
    <w:rsid w:val="00FF04E3"/>
    <w:rPr>
      <w:rFonts w:ascii="Calibri" w:hAnsi="Calibri"/>
      <w:b/>
      <w:bCs/>
      <w:sz w:val="22"/>
      <w:szCs w:val="22"/>
    </w:rPr>
  </w:style>
  <w:style w:type="character" w:customStyle="1" w:styleId="Heading7Char">
    <w:name w:val="Heading 7 Char"/>
    <w:basedOn w:val="DefaultParagraphFont"/>
    <w:link w:val="Heading7"/>
    <w:semiHidden/>
    <w:rsid w:val="00FF04E3"/>
    <w:rPr>
      <w:rFonts w:ascii="Calibri" w:hAnsi="Calibri"/>
      <w:sz w:val="24"/>
      <w:szCs w:val="24"/>
    </w:rPr>
  </w:style>
  <w:style w:type="character" w:customStyle="1" w:styleId="Heading8Char">
    <w:name w:val="Heading 8 Char"/>
    <w:basedOn w:val="DefaultParagraphFont"/>
    <w:link w:val="Heading8"/>
    <w:semiHidden/>
    <w:rsid w:val="00FF04E3"/>
    <w:rPr>
      <w:rFonts w:ascii="Calibri" w:hAnsi="Calibri"/>
      <w:i/>
      <w:iCs/>
      <w:sz w:val="24"/>
      <w:szCs w:val="24"/>
    </w:rPr>
  </w:style>
  <w:style w:type="character" w:customStyle="1" w:styleId="Heading9Char">
    <w:name w:val="Heading 9 Char"/>
    <w:basedOn w:val="DefaultParagraphFont"/>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basedOn w:val="DefaultParagraphFont"/>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basedOn w:val="DefaultParagraphFont"/>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basedOn w:val="DefaultParagraphFont"/>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basedOn w:val="DefaultParagraphFont"/>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basedOn w:val="DefaultParagraphFont"/>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basedOn w:val="DefaultParagraphFont"/>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basedOn w:val="DefaultParagraphFont"/>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basedOn w:val="DefaultParagraphFont"/>
    <w:link w:val="Closing"/>
    <w:semiHidden/>
    <w:rsid w:val="00FF04E3"/>
    <w:rPr>
      <w:sz w:val="24"/>
    </w:rPr>
  </w:style>
  <w:style w:type="paragraph" w:styleId="CommentText">
    <w:name w:val="annotation text"/>
    <w:basedOn w:val="Normal"/>
    <w:link w:val="CommentTextChar"/>
    <w:semiHidden/>
    <w:rsid w:val="00405336"/>
    <w:rPr>
      <w:sz w:val="20"/>
    </w:rPr>
  </w:style>
  <w:style w:type="character" w:customStyle="1" w:styleId="CommentTextChar">
    <w:name w:val="Comment Text Char"/>
    <w:basedOn w:val="DefaultParagraphFont"/>
    <w:link w:val="CommentText"/>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basedOn w:val="CommentText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basedOn w:val="DefaultParagraphFont"/>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basedOn w:val="DefaultParagraphFont"/>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basedOn w:val="DefaultParagraphFont"/>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semiHidden/>
    <w:rsid w:val="00405336"/>
    <w:pPr>
      <w:tabs>
        <w:tab w:val="center" w:pos="4680"/>
        <w:tab w:val="right" w:pos="9360"/>
      </w:tabs>
    </w:pPr>
  </w:style>
  <w:style w:type="character" w:customStyle="1" w:styleId="FooterChar">
    <w:name w:val="Footer Char"/>
    <w:basedOn w:val="DefaultParagraphFont"/>
    <w:link w:val="Footer"/>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semiHidden/>
    <w:rsid w:val="00405336"/>
    <w:pPr>
      <w:tabs>
        <w:tab w:val="center" w:pos="4680"/>
        <w:tab w:val="right" w:pos="9360"/>
      </w:tabs>
    </w:pPr>
  </w:style>
  <w:style w:type="character" w:customStyle="1" w:styleId="HeaderChar">
    <w:name w:val="Header Char"/>
    <w:basedOn w:val="DefaultParagraphFont"/>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basedOn w:val="DefaultParagraphFont"/>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basedOn w:val="DefaultParagraphFont"/>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semiHidden/>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uiPriority w:val="99"/>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basedOn w:val="DefaultParagraphFont"/>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basedOn w:val="DefaultParagraphFont"/>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basedOn w:val="DefaultParagraphFont"/>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basedOn w:val="DefaultParagraphFont"/>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basedOn w:val="DefaultParagraphFont"/>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basedOn w:val="DefaultParagraphFont"/>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basedOn w:val="DefaultParagraphFont"/>
    <w:semiHidden/>
    <w:rsid w:val="007402FC"/>
    <w:rPr>
      <w:color w:val="0000FF"/>
      <w:u w:val="single"/>
    </w:rPr>
  </w:style>
  <w:style w:type="character" w:styleId="Emphasis">
    <w:name w:val="Emphasis"/>
    <w:basedOn w:val="DefaultParagraphFont"/>
    <w:uiPriority w:val="20"/>
    <w:qFormat/>
    <w:rsid w:val="00B42F9C"/>
    <w:rPr>
      <w:i/>
      <w:iCs/>
    </w:rPr>
  </w:style>
  <w:style w:type="character" w:styleId="CommentReference">
    <w:name w:val="annotation reference"/>
    <w:basedOn w:val="DefaultParagraphFont"/>
    <w:semiHidden/>
    <w:rsid w:val="009258B8"/>
    <w:rPr>
      <w:sz w:val="16"/>
      <w:szCs w:val="16"/>
    </w:rPr>
  </w:style>
  <w:style w:type="character" w:styleId="FollowedHyperlink">
    <w:name w:val="FollowedHyperlink"/>
    <w:basedOn w:val="DefaultParagraphFont"/>
    <w:semiHidden/>
    <w:unhideWhenUsed/>
    <w:rsid w:val="00611A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178651">
      <w:bodyDiv w:val="1"/>
      <w:marLeft w:val="0"/>
      <w:marRight w:val="0"/>
      <w:marTop w:val="0"/>
      <w:marBottom w:val="0"/>
      <w:divBdr>
        <w:top w:val="none" w:sz="0" w:space="0" w:color="auto"/>
        <w:left w:val="none" w:sz="0" w:space="0" w:color="auto"/>
        <w:bottom w:val="none" w:sz="0" w:space="0" w:color="auto"/>
        <w:right w:val="none" w:sz="0" w:space="0" w:color="auto"/>
      </w:divBdr>
    </w:div>
    <w:div w:id="146954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AA570-445A-4792-B7C4-EE81A5C6C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1254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Supporting Online Material for</vt:lpstr>
      <vt:lpstr>Supporting Online Material for</vt:lpstr>
    </vt:vector>
  </TitlesOfParts>
  <Company>AAAS</Company>
  <LinksUpToDate>false</LinksUpToDate>
  <CharactersWithSpaces>1471</CharactersWithSpaces>
  <SharedDoc>false</SharedDoc>
  <HLinks>
    <vt:vector size="12" baseType="variant">
      <vt:variant>
        <vt:i4>4980850</vt:i4>
      </vt:variant>
      <vt:variant>
        <vt:i4>3</vt:i4>
      </vt:variant>
      <vt:variant>
        <vt:i4>0</vt:i4>
      </vt:variant>
      <vt:variant>
        <vt:i4>5</vt:i4>
      </vt:variant>
      <vt:variant>
        <vt:lpwstr>mailto:xxxxx@xxxx.xxx</vt:lpwstr>
      </vt:variant>
      <vt:variant>
        <vt:lpwstr/>
      </vt:variant>
      <vt:variant>
        <vt:i4>5308455</vt:i4>
      </vt:variant>
      <vt:variant>
        <vt:i4>0</vt:i4>
      </vt:variant>
      <vt:variant>
        <vt:i4>0</vt:i4>
      </vt:variant>
      <vt:variant>
        <vt:i4>5</vt:i4>
      </vt:variant>
      <vt:variant>
        <vt:lpwstr>http://www.sciencemag.org/site/feature/contribinfo/prep/prep_online.xhtml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creator>Brooks Hanson</dc:creator>
  <cp:lastModifiedBy>野橋 智美</cp:lastModifiedBy>
  <cp:revision>3</cp:revision>
  <cp:lastPrinted>2018-02-26T17:19:00Z</cp:lastPrinted>
  <dcterms:created xsi:type="dcterms:W3CDTF">2021-09-16T13:49:00Z</dcterms:created>
  <dcterms:modified xsi:type="dcterms:W3CDTF">2021-09-16T14:09:00Z</dcterms:modified>
</cp:coreProperties>
</file>