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FBD8" w14:textId="77777777" w:rsidR="00CF76E5" w:rsidRDefault="00CF76E5" w:rsidP="00CF76E5">
      <w:pPr>
        <w:spacing w:line="360" w:lineRule="auto"/>
        <w:outlineLvl w:val="0"/>
        <w:rPr>
          <w:rFonts w:ascii="Arial" w:eastAsia="Cambria" w:hAnsi="Arial"/>
          <w:b/>
          <w:lang w:val="en-US" w:eastAsia="en-US"/>
        </w:rPr>
      </w:pPr>
      <w:r>
        <w:rPr>
          <w:rFonts w:ascii="Arial" w:eastAsia="Cambria" w:hAnsi="Arial"/>
          <w:b/>
          <w:lang w:val="en-US" w:eastAsia="en-US"/>
        </w:rPr>
        <w:t>Supplementary material</w:t>
      </w:r>
    </w:p>
    <w:p w14:paraId="2C2173E6" w14:textId="77777777" w:rsidR="00CF76E5" w:rsidRDefault="00CF76E5" w:rsidP="00CF76E5">
      <w:pPr>
        <w:spacing w:line="360" w:lineRule="auto"/>
        <w:outlineLvl w:val="0"/>
        <w:rPr>
          <w:rFonts w:ascii="Arial" w:eastAsia="Cambria" w:hAnsi="Arial"/>
          <w:b/>
          <w:lang w:val="en-US" w:eastAsia="en-US"/>
        </w:rPr>
      </w:pPr>
    </w:p>
    <w:p w14:paraId="1A67FDA6" w14:textId="1DF217DE" w:rsidR="00CF76E5" w:rsidRPr="00B65E47" w:rsidRDefault="00CF76E5" w:rsidP="00CF76E5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S</w:t>
      </w:r>
      <w:r w:rsidRPr="002175F4">
        <w:rPr>
          <w:rFonts w:ascii="Arial" w:hAnsi="Arial" w:cs="Arial"/>
          <w:b/>
          <w:lang w:val="en-US"/>
        </w:rPr>
        <w:t xml:space="preserve">1. </w:t>
      </w:r>
      <w:r w:rsidRPr="002175F4">
        <w:rPr>
          <w:rFonts w:ascii="Arial" w:hAnsi="Arial" w:cs="Arial"/>
          <w:b/>
          <w:spacing w:val="-2"/>
          <w:lang w:val="en-US"/>
        </w:rPr>
        <w:t xml:space="preserve">ARID1A loss </w:t>
      </w:r>
      <w:r w:rsidR="00D70FFB">
        <w:rPr>
          <w:rFonts w:ascii="Arial" w:hAnsi="Arial" w:cs="Arial"/>
          <w:b/>
          <w:spacing w:val="-2"/>
          <w:lang w:val="en-US"/>
        </w:rPr>
        <w:t xml:space="preserve">activates PI3K/AKT and </w:t>
      </w:r>
      <w:r w:rsidRPr="002175F4">
        <w:rPr>
          <w:rFonts w:ascii="Arial" w:hAnsi="Arial" w:cs="Arial"/>
          <w:b/>
          <w:spacing w:val="-2"/>
          <w:lang w:val="en-US"/>
        </w:rPr>
        <w:t xml:space="preserve">has no effect on MAPK/ERK </w:t>
      </w:r>
      <w:r w:rsidRPr="002175F4">
        <w:rPr>
          <w:rFonts w:ascii="Arial" w:hAnsi="Arial" w:cs="Arial"/>
          <w:b/>
          <w:lang w:val="en-US"/>
        </w:rPr>
        <w:t>signaling</w:t>
      </w:r>
      <w:r w:rsidRPr="002175F4">
        <w:rPr>
          <w:rFonts w:ascii="Arial" w:hAnsi="Arial" w:cs="Arial"/>
          <w:b/>
          <w:spacing w:val="-2"/>
          <w:lang w:val="en-US"/>
        </w:rPr>
        <w:t xml:space="preserve"> in BT474 cells</w:t>
      </w:r>
    </w:p>
    <w:p w14:paraId="227A7A89" w14:textId="014B28B0" w:rsidR="00CF76E5" w:rsidRDefault="00CF76E5" w:rsidP="00CF76E5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 w:cs="Arial"/>
          <w:lang w:val="en-US" w:bidi="en-US"/>
        </w:rPr>
        <w:t xml:space="preserve">(A) </w:t>
      </w:r>
      <w:r w:rsidRPr="002175F4">
        <w:rPr>
          <w:rFonts w:ascii="Arial" w:hAnsi="Arial" w:cs="Arial"/>
          <w:lang w:val="en-US" w:bidi="en-US"/>
        </w:rPr>
        <w:t xml:space="preserve">BT474 cells expressing </w:t>
      </w:r>
      <w:proofErr w:type="spellStart"/>
      <w:r w:rsidRPr="002175F4">
        <w:rPr>
          <w:rFonts w:ascii="Arial" w:hAnsi="Arial" w:cs="Arial"/>
          <w:lang w:val="en-US" w:bidi="en-US"/>
        </w:rPr>
        <w:t>sh</w:t>
      </w:r>
      <w:r w:rsidRPr="002175F4">
        <w:rPr>
          <w:rFonts w:ascii="Arial" w:hAnsi="Arial" w:cs="Arial"/>
          <w:i/>
          <w:lang w:val="en-US" w:bidi="en-US"/>
        </w:rPr>
        <w:t>ctrl</w:t>
      </w:r>
      <w:proofErr w:type="spellEnd"/>
      <w:r w:rsidRPr="002175F4">
        <w:rPr>
          <w:rFonts w:ascii="Arial" w:hAnsi="Arial" w:cs="Arial"/>
          <w:lang w:val="en-US" w:bidi="en-US"/>
        </w:rPr>
        <w:t xml:space="preserve"> or sh</w:t>
      </w:r>
      <w:r w:rsidRPr="002175F4">
        <w:rPr>
          <w:rFonts w:ascii="Arial" w:hAnsi="Arial" w:cs="Arial"/>
          <w:i/>
          <w:lang w:val="en-US" w:bidi="en-US"/>
        </w:rPr>
        <w:t>ARID1A</w:t>
      </w:r>
      <w:r w:rsidRPr="002175F4">
        <w:rPr>
          <w:rFonts w:ascii="Arial" w:hAnsi="Arial" w:cs="Arial"/>
          <w:lang w:val="en-US" w:bidi="en-US"/>
        </w:rPr>
        <w:t xml:space="preserve"> </w:t>
      </w:r>
      <w:r w:rsidRPr="002175F4">
        <w:rPr>
          <w:rFonts w:ascii="Arial" w:hAnsi="Arial" w:cs="Arial"/>
          <w:lang w:val="en-US"/>
        </w:rPr>
        <w:t xml:space="preserve">were cultured in the absence or presence of increasing amounts of AZD8055 for 2 hours. </w:t>
      </w:r>
      <w:r w:rsidRPr="002175F4">
        <w:rPr>
          <w:rFonts w:ascii="Arial" w:hAnsi="Arial"/>
          <w:lang w:val="en-US"/>
        </w:rPr>
        <w:t>Cell lysates were harvested for Western blotting analysis and probed with the indicated antibodies.</w:t>
      </w:r>
      <w:r>
        <w:rPr>
          <w:rFonts w:ascii="Arial" w:hAnsi="Arial"/>
          <w:lang w:val="en-US"/>
        </w:rPr>
        <w:t xml:space="preserve"> (B) Western analysis of two BT474 ARID1A </w:t>
      </w:r>
      <w:proofErr w:type="spellStart"/>
      <w:proofErr w:type="gramStart"/>
      <w:r>
        <w:rPr>
          <w:rFonts w:ascii="Arial" w:hAnsi="Arial"/>
          <w:lang w:val="en-US"/>
        </w:rPr>
        <w:t>ko</w:t>
      </w:r>
      <w:proofErr w:type="spellEnd"/>
      <w:proofErr w:type="gramEnd"/>
      <w:r>
        <w:rPr>
          <w:rFonts w:ascii="Arial" w:hAnsi="Arial"/>
          <w:lang w:val="en-US"/>
        </w:rPr>
        <w:t xml:space="preserve"> clones</w:t>
      </w:r>
      <w:r w:rsidR="00FE4616">
        <w:rPr>
          <w:rFonts w:ascii="Arial" w:hAnsi="Arial"/>
          <w:lang w:val="en-US"/>
        </w:rPr>
        <w:t xml:space="preserve"> (#2 and #20)</w:t>
      </w:r>
      <w:r>
        <w:rPr>
          <w:rFonts w:ascii="Arial" w:hAnsi="Arial"/>
          <w:lang w:val="en-US"/>
        </w:rPr>
        <w:t xml:space="preserve"> generated with CRISPR/Cas9 targeting. Lysates were prepared three days after </w:t>
      </w:r>
      <w:proofErr w:type="spellStart"/>
      <w:r>
        <w:rPr>
          <w:rFonts w:ascii="Arial" w:hAnsi="Arial"/>
          <w:lang w:val="en-US"/>
        </w:rPr>
        <w:t>trastuzumab</w:t>
      </w:r>
      <w:proofErr w:type="spellEnd"/>
      <w:r>
        <w:rPr>
          <w:rFonts w:ascii="Arial" w:hAnsi="Arial"/>
          <w:lang w:val="en-US"/>
        </w:rPr>
        <w:t xml:space="preserve"> (2µg/ml) exposure and probed for the indicated proteins. (C) </w:t>
      </w:r>
      <w:r w:rsidRPr="009A022B">
        <w:rPr>
          <w:rFonts w:ascii="Arial" w:hAnsi="Arial"/>
          <w:lang w:val="en-US"/>
        </w:rPr>
        <w:t xml:space="preserve">BT474 </w:t>
      </w:r>
      <w:r>
        <w:rPr>
          <w:rFonts w:ascii="Arial" w:hAnsi="Arial"/>
          <w:lang w:val="en-US"/>
        </w:rPr>
        <w:t xml:space="preserve">control </w:t>
      </w:r>
      <w:r w:rsidRPr="009A022B">
        <w:rPr>
          <w:rFonts w:ascii="Arial" w:hAnsi="Arial"/>
          <w:lang w:val="en-US"/>
        </w:rPr>
        <w:t xml:space="preserve">cells expressing </w:t>
      </w:r>
      <w:r>
        <w:rPr>
          <w:rFonts w:ascii="Arial" w:hAnsi="Arial"/>
          <w:lang w:val="en-US"/>
        </w:rPr>
        <w:t>only Cas9</w:t>
      </w:r>
      <w:r w:rsidR="00D70FFB">
        <w:rPr>
          <w:rFonts w:ascii="Arial" w:hAnsi="Arial"/>
          <w:lang w:val="en-US"/>
        </w:rPr>
        <w:t xml:space="preserve"> (ctrl)</w:t>
      </w:r>
      <w:r>
        <w:rPr>
          <w:rFonts w:ascii="Arial" w:hAnsi="Arial"/>
          <w:lang w:val="en-US"/>
        </w:rPr>
        <w:t xml:space="preserve"> and two ARID1A CRISPR/Cas9 </w:t>
      </w:r>
      <w:proofErr w:type="spellStart"/>
      <w:proofErr w:type="gramStart"/>
      <w:r>
        <w:rPr>
          <w:rFonts w:ascii="Arial" w:hAnsi="Arial"/>
          <w:lang w:val="en-US"/>
        </w:rPr>
        <w:t>ko</w:t>
      </w:r>
      <w:proofErr w:type="spellEnd"/>
      <w:proofErr w:type="gramEnd"/>
      <w:r>
        <w:rPr>
          <w:rFonts w:ascii="Arial" w:hAnsi="Arial"/>
          <w:lang w:val="en-US"/>
        </w:rPr>
        <w:t xml:space="preserve"> clones</w:t>
      </w:r>
      <w:r w:rsidR="00D70FFB">
        <w:rPr>
          <w:rFonts w:ascii="Arial" w:hAnsi="Arial"/>
          <w:lang w:val="en-US"/>
        </w:rPr>
        <w:t xml:space="preserve"> (#2 and #20)</w:t>
      </w:r>
      <w:r w:rsidRPr="009A022B">
        <w:rPr>
          <w:rFonts w:ascii="Arial" w:hAnsi="Arial"/>
          <w:lang w:val="en-US"/>
        </w:rPr>
        <w:t xml:space="preserve"> </w:t>
      </w:r>
      <w:r w:rsidRPr="009A022B">
        <w:rPr>
          <w:rFonts w:ascii="Arial" w:hAnsi="Arial" w:cs="Arial"/>
          <w:lang w:val="en-US"/>
        </w:rPr>
        <w:t xml:space="preserve">were cultured in the absence or presence of </w:t>
      </w:r>
      <w:r>
        <w:rPr>
          <w:rFonts w:ascii="Arial" w:hAnsi="Arial" w:cs="Arial"/>
          <w:lang w:val="en-US"/>
        </w:rPr>
        <w:t>2</w:t>
      </w:r>
      <w:r w:rsidR="000139D7">
        <w:rPr>
          <w:rFonts w:ascii="Arial" w:hAnsi="Arial" w:cs="Arial"/>
          <w:lang w:val="en-US"/>
        </w:rPr>
        <w:t xml:space="preserve"> µg/ml </w:t>
      </w:r>
      <w:proofErr w:type="spellStart"/>
      <w:r w:rsidR="000139D7">
        <w:rPr>
          <w:rFonts w:ascii="Arial" w:hAnsi="Arial" w:cs="Arial"/>
          <w:lang w:val="en-US"/>
        </w:rPr>
        <w:t>trastuzumab</w:t>
      </w:r>
      <w:proofErr w:type="spellEnd"/>
      <w:r>
        <w:rPr>
          <w:rFonts w:ascii="Arial" w:hAnsi="Arial" w:cs="Arial"/>
          <w:lang w:val="en-US"/>
        </w:rPr>
        <w:t>.</w:t>
      </w:r>
      <w:r w:rsidRPr="009A022B">
        <w:rPr>
          <w:rFonts w:ascii="Arial" w:hAnsi="Arial" w:cs="Arial"/>
          <w:lang w:val="en-US"/>
        </w:rPr>
        <w:t xml:space="preserve"> The cells were fixed, stained and photographed after 21 days.</w:t>
      </w:r>
    </w:p>
    <w:p w14:paraId="4FBB9A35" w14:textId="77777777" w:rsidR="00CF76E5" w:rsidRDefault="00CF76E5" w:rsidP="00CF76E5">
      <w:pPr>
        <w:spacing w:line="360" w:lineRule="auto"/>
        <w:jc w:val="both"/>
        <w:rPr>
          <w:rFonts w:ascii="Arial" w:hAnsi="Arial"/>
          <w:lang w:val="en-US"/>
        </w:rPr>
      </w:pPr>
    </w:p>
    <w:p w14:paraId="6B17C52F" w14:textId="77777777" w:rsidR="00CF76E5" w:rsidRPr="002175F4" w:rsidRDefault="00CF76E5" w:rsidP="00CF76E5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S</w:t>
      </w:r>
      <w:r w:rsidRPr="002175F4">
        <w:rPr>
          <w:rFonts w:ascii="Arial" w:hAnsi="Arial" w:cs="Arial"/>
          <w:b/>
          <w:lang w:val="en-US"/>
        </w:rPr>
        <w:t xml:space="preserve">2. Suppression of ARID1A leads to induction of </w:t>
      </w:r>
      <w:r w:rsidRPr="002175F4">
        <w:rPr>
          <w:rFonts w:ascii="Arial" w:hAnsi="Arial" w:cs="Arial"/>
          <w:b/>
          <w:i/>
          <w:lang w:val="en-US"/>
        </w:rPr>
        <w:t>ANXA1</w:t>
      </w:r>
      <w:r w:rsidRPr="002175F4">
        <w:rPr>
          <w:rFonts w:ascii="Arial" w:hAnsi="Arial" w:cs="Arial"/>
          <w:b/>
          <w:lang w:val="en-US"/>
        </w:rPr>
        <w:t xml:space="preserve"> RNA expression and </w:t>
      </w:r>
      <w:r>
        <w:rPr>
          <w:rFonts w:ascii="Arial" w:hAnsi="Arial" w:cs="Arial"/>
          <w:b/>
          <w:lang w:val="en-US"/>
        </w:rPr>
        <w:t xml:space="preserve">loss of </w:t>
      </w:r>
      <w:r w:rsidRPr="002175F4">
        <w:rPr>
          <w:rFonts w:ascii="Arial" w:hAnsi="Arial" w:cs="Arial"/>
          <w:b/>
          <w:lang w:val="en-US"/>
        </w:rPr>
        <w:t>BRG1 complex binding to</w:t>
      </w:r>
      <w:r w:rsidRPr="002175F4">
        <w:rPr>
          <w:rFonts w:ascii="Arial" w:hAnsi="Arial" w:cs="Arial"/>
          <w:b/>
          <w:i/>
          <w:lang w:val="en-US"/>
        </w:rPr>
        <w:t xml:space="preserve"> ANXA1</w:t>
      </w:r>
      <w:r w:rsidRPr="002175F4">
        <w:rPr>
          <w:rFonts w:ascii="Arial" w:hAnsi="Arial" w:cs="Arial"/>
          <w:b/>
          <w:lang w:val="en-US"/>
        </w:rPr>
        <w:t xml:space="preserve"> region.</w:t>
      </w:r>
    </w:p>
    <w:p w14:paraId="09F4856D" w14:textId="77777777" w:rsidR="00CF76E5" w:rsidRDefault="00CF76E5" w:rsidP="00CF76E5">
      <w:pPr>
        <w:spacing w:line="360" w:lineRule="auto"/>
        <w:jc w:val="both"/>
        <w:rPr>
          <w:rFonts w:ascii="Arial" w:hAnsi="Arial" w:cs="Arial"/>
          <w:lang w:val="en-US"/>
        </w:rPr>
      </w:pPr>
      <w:r w:rsidRPr="002175F4">
        <w:rPr>
          <w:rFonts w:ascii="Arial" w:hAnsi="Arial" w:cs="Arial"/>
          <w:lang w:val="en-US"/>
        </w:rPr>
        <w:t>(</w:t>
      </w:r>
      <w:r w:rsidRPr="00B65E47">
        <w:rPr>
          <w:rFonts w:ascii="Arial" w:hAnsi="Arial" w:cs="Arial"/>
          <w:b/>
          <w:lang w:val="en-US"/>
        </w:rPr>
        <w:t>A</w:t>
      </w:r>
      <w:r w:rsidRPr="002175F4">
        <w:rPr>
          <w:rFonts w:ascii="Arial" w:hAnsi="Arial" w:cs="Arial"/>
          <w:lang w:val="en-US"/>
        </w:rPr>
        <w:t xml:space="preserve">) BT474 and MCF7 cell lines stably infected with </w:t>
      </w:r>
      <w:proofErr w:type="spellStart"/>
      <w:r w:rsidRPr="002175F4">
        <w:rPr>
          <w:rFonts w:ascii="Arial" w:hAnsi="Arial" w:cs="Arial"/>
          <w:lang w:val="en-US"/>
        </w:rPr>
        <w:t>sh</w:t>
      </w:r>
      <w:r w:rsidRPr="002175F4">
        <w:rPr>
          <w:rFonts w:ascii="Arial" w:hAnsi="Arial" w:cs="Arial"/>
          <w:i/>
          <w:lang w:val="en-US"/>
        </w:rPr>
        <w:t>ctrl</w:t>
      </w:r>
      <w:proofErr w:type="spellEnd"/>
      <w:r w:rsidRPr="002175F4">
        <w:rPr>
          <w:rFonts w:ascii="Arial" w:hAnsi="Arial" w:cs="Arial"/>
          <w:lang w:val="en-US"/>
        </w:rPr>
        <w:t xml:space="preserve"> or two independent sh</w:t>
      </w:r>
      <w:r w:rsidRPr="002175F4">
        <w:rPr>
          <w:rFonts w:ascii="Arial" w:hAnsi="Arial" w:cs="Arial"/>
          <w:i/>
          <w:lang w:val="en-US"/>
        </w:rPr>
        <w:t xml:space="preserve">ARID1A </w:t>
      </w:r>
      <w:r w:rsidRPr="002175F4">
        <w:rPr>
          <w:rFonts w:ascii="Arial" w:hAnsi="Arial" w:cs="Arial"/>
          <w:lang w:val="en-US"/>
        </w:rPr>
        <w:t xml:space="preserve">vectors were subjected to RNA sequence analysis. Shown are those genes whose expression was altered 1.75 folds as a consequence of </w:t>
      </w:r>
      <w:r w:rsidRPr="002175F4">
        <w:rPr>
          <w:rFonts w:ascii="Arial" w:hAnsi="Arial" w:cs="Arial"/>
          <w:i/>
          <w:lang w:val="en-US"/>
        </w:rPr>
        <w:t>ARID1A</w:t>
      </w:r>
      <w:r w:rsidRPr="002175F4">
        <w:rPr>
          <w:rFonts w:ascii="Arial" w:hAnsi="Arial" w:cs="Arial"/>
          <w:lang w:val="en-US"/>
        </w:rPr>
        <w:t xml:space="preserve"> suppression in both cell lines and with all tested sh</w:t>
      </w:r>
      <w:r w:rsidRPr="002175F4">
        <w:rPr>
          <w:rFonts w:ascii="Arial" w:hAnsi="Arial" w:cs="Arial"/>
          <w:i/>
          <w:lang w:val="en-US"/>
        </w:rPr>
        <w:t xml:space="preserve">ARID1A </w:t>
      </w:r>
      <w:r w:rsidRPr="002175F4">
        <w:rPr>
          <w:rFonts w:ascii="Arial" w:hAnsi="Arial" w:cs="Arial"/>
          <w:lang w:val="en-US"/>
        </w:rPr>
        <w:t>vectors.</w:t>
      </w:r>
      <w:r>
        <w:rPr>
          <w:rFonts w:ascii="Arial" w:hAnsi="Arial" w:cs="Arial"/>
          <w:lang w:val="en-US"/>
        </w:rPr>
        <w:t xml:space="preserve"> </w:t>
      </w:r>
      <w:r w:rsidRPr="002175F4">
        <w:rPr>
          <w:rFonts w:ascii="Arial" w:hAnsi="Arial"/>
          <w:lang w:val="en-US"/>
        </w:rPr>
        <w:t>(</w:t>
      </w:r>
      <w:r w:rsidRPr="00B65E47">
        <w:rPr>
          <w:rFonts w:ascii="Arial" w:hAnsi="Arial"/>
          <w:b/>
          <w:lang w:val="en-US"/>
        </w:rPr>
        <w:t>B</w:t>
      </w:r>
      <w:r w:rsidRPr="002175F4">
        <w:rPr>
          <w:rFonts w:ascii="Arial" w:hAnsi="Arial"/>
          <w:lang w:val="en-US"/>
        </w:rPr>
        <w:t xml:space="preserve">) </w:t>
      </w:r>
      <w:r>
        <w:rPr>
          <w:rFonts w:ascii="Arial" w:hAnsi="Arial"/>
          <w:lang w:val="en-US"/>
        </w:rPr>
        <w:t xml:space="preserve">BRG1 binding to the ANXA1 promoter region is diminished upon ARID1A loss. </w:t>
      </w:r>
      <w:r w:rsidRPr="002175F4">
        <w:rPr>
          <w:rFonts w:ascii="Arial" w:hAnsi="Arial"/>
          <w:lang w:val="en-US"/>
        </w:rPr>
        <w:t xml:space="preserve">Snapshot derived from the </w:t>
      </w:r>
      <w:r>
        <w:rPr>
          <w:rFonts w:ascii="Arial" w:hAnsi="Arial"/>
          <w:lang w:val="en-US"/>
        </w:rPr>
        <w:t>Integrative Genomics Viewer (IGV 2.3.40)</w:t>
      </w:r>
      <w:r w:rsidRPr="002175F4">
        <w:rPr>
          <w:rFonts w:ascii="Arial" w:hAnsi="Arial"/>
          <w:lang w:val="en-US"/>
        </w:rPr>
        <w:t xml:space="preserve"> showing the </w:t>
      </w:r>
      <w:r>
        <w:rPr>
          <w:rFonts w:ascii="Arial" w:hAnsi="Arial"/>
          <w:lang w:val="en-US"/>
        </w:rPr>
        <w:t xml:space="preserve">Igg control and </w:t>
      </w:r>
      <w:r w:rsidRPr="002175F4">
        <w:rPr>
          <w:rFonts w:ascii="Arial" w:hAnsi="Arial"/>
          <w:lang w:val="en-US"/>
        </w:rPr>
        <w:t xml:space="preserve">BRG1 CHIP </w:t>
      </w:r>
      <w:proofErr w:type="spellStart"/>
      <w:r w:rsidRPr="002175F4">
        <w:rPr>
          <w:rFonts w:ascii="Arial" w:hAnsi="Arial"/>
          <w:lang w:val="en-US"/>
        </w:rPr>
        <w:t>seq</w:t>
      </w:r>
      <w:proofErr w:type="spellEnd"/>
      <w:r w:rsidRPr="002175F4">
        <w:rPr>
          <w:rFonts w:ascii="Arial" w:hAnsi="Arial"/>
          <w:lang w:val="en-US"/>
        </w:rPr>
        <w:t xml:space="preserve"> data in </w:t>
      </w:r>
      <w:proofErr w:type="spellStart"/>
      <w:r>
        <w:rPr>
          <w:rFonts w:ascii="Arial" w:hAnsi="Arial"/>
          <w:lang w:val="en-US"/>
        </w:rPr>
        <w:t>wt</w:t>
      </w:r>
      <w:proofErr w:type="spellEnd"/>
      <w:r>
        <w:rPr>
          <w:rFonts w:ascii="Arial" w:hAnsi="Arial"/>
          <w:lang w:val="en-US"/>
        </w:rPr>
        <w:t xml:space="preserve"> MCF7</w:t>
      </w:r>
      <w:r w:rsidRPr="002175F4">
        <w:rPr>
          <w:rFonts w:ascii="Arial" w:hAnsi="Arial"/>
          <w:lang w:val="en-US"/>
        </w:rPr>
        <w:t xml:space="preserve"> cells </w:t>
      </w:r>
      <w:r>
        <w:rPr>
          <w:rFonts w:ascii="Arial" w:hAnsi="Arial"/>
          <w:lang w:val="en-US"/>
        </w:rPr>
        <w:t xml:space="preserve">and a MCF7 ARID1A low </w:t>
      </w:r>
      <w:proofErr w:type="spellStart"/>
      <w:r>
        <w:rPr>
          <w:rFonts w:ascii="Arial" w:hAnsi="Arial"/>
          <w:lang w:val="en-US"/>
        </w:rPr>
        <w:t>subclone</w:t>
      </w:r>
      <w:proofErr w:type="spellEnd"/>
      <w:r>
        <w:rPr>
          <w:rFonts w:ascii="Arial" w:hAnsi="Arial"/>
          <w:lang w:val="en-US"/>
        </w:rPr>
        <w:t xml:space="preserve"> generated by CRISPR/Cas9 targeting. (</w:t>
      </w:r>
      <w:r w:rsidRPr="00863921">
        <w:rPr>
          <w:rFonts w:ascii="Arial" w:hAnsi="Arial"/>
          <w:b/>
          <w:lang w:val="en-US"/>
        </w:rPr>
        <w:t>C</w:t>
      </w:r>
      <w:r>
        <w:rPr>
          <w:rFonts w:ascii="Arial" w:hAnsi="Arial"/>
          <w:lang w:val="en-US"/>
        </w:rPr>
        <w:t xml:space="preserve">) </w:t>
      </w:r>
      <w:r w:rsidRPr="00863921">
        <w:rPr>
          <w:rFonts w:ascii="Arial" w:hAnsi="Arial"/>
          <w:i/>
          <w:lang w:val="en-US"/>
        </w:rPr>
        <w:t>ARID1A</w:t>
      </w:r>
      <w:r>
        <w:rPr>
          <w:rFonts w:ascii="Arial" w:hAnsi="Arial"/>
          <w:lang w:val="en-US"/>
        </w:rPr>
        <w:t xml:space="preserve"> and </w:t>
      </w:r>
      <w:r w:rsidRPr="002175F4">
        <w:rPr>
          <w:rFonts w:ascii="Arial" w:hAnsi="Arial" w:cs="Arial"/>
          <w:i/>
          <w:lang w:val="en-US"/>
        </w:rPr>
        <w:t xml:space="preserve">ANXA1 </w:t>
      </w:r>
      <w:r w:rsidRPr="002175F4">
        <w:rPr>
          <w:rFonts w:ascii="Arial" w:hAnsi="Arial" w:cs="Arial"/>
          <w:lang w:val="en-US"/>
        </w:rPr>
        <w:t>mRNA expression analysis</w:t>
      </w:r>
      <w:r>
        <w:rPr>
          <w:rFonts w:ascii="Arial" w:hAnsi="Arial" w:cs="Arial"/>
          <w:lang w:val="en-US"/>
        </w:rPr>
        <w:t xml:space="preserve"> (relative to GAPDH)</w:t>
      </w:r>
      <w:r w:rsidRPr="002175F4">
        <w:rPr>
          <w:rFonts w:ascii="Arial" w:hAnsi="Arial" w:cs="Arial"/>
          <w:lang w:val="en-US"/>
        </w:rPr>
        <w:t xml:space="preserve"> by </w:t>
      </w:r>
      <w:proofErr w:type="spellStart"/>
      <w:r w:rsidRPr="002175F4">
        <w:rPr>
          <w:rFonts w:ascii="Arial" w:hAnsi="Arial" w:cs="Arial"/>
          <w:lang w:val="en-US"/>
        </w:rPr>
        <w:t>qRT</w:t>
      </w:r>
      <w:proofErr w:type="spellEnd"/>
      <w:r w:rsidRPr="002175F4">
        <w:rPr>
          <w:rFonts w:ascii="Arial" w:hAnsi="Arial" w:cs="Arial"/>
          <w:lang w:val="en-US"/>
        </w:rPr>
        <w:t>-PCR in MCF7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wt</w:t>
      </w:r>
      <w:proofErr w:type="spellEnd"/>
      <w:r>
        <w:rPr>
          <w:rFonts w:ascii="Arial" w:hAnsi="Arial" w:cs="Arial"/>
          <w:lang w:val="en-US"/>
        </w:rPr>
        <w:t xml:space="preserve"> cells </w:t>
      </w:r>
      <w:proofErr w:type="gramStart"/>
      <w:r>
        <w:rPr>
          <w:rFonts w:ascii="Arial" w:hAnsi="Arial" w:cs="Arial"/>
          <w:lang w:val="en-US"/>
        </w:rPr>
        <w:t>and</w:t>
      </w:r>
      <w:proofErr w:type="gramEnd"/>
      <w:r>
        <w:rPr>
          <w:rFonts w:ascii="Arial" w:hAnsi="Arial" w:cs="Arial"/>
          <w:lang w:val="en-US"/>
        </w:rPr>
        <w:t xml:space="preserve"> ARID1A low cells generated by CRISPR/Cas9 targeting.</w:t>
      </w:r>
    </w:p>
    <w:p w14:paraId="04AF6910" w14:textId="77777777" w:rsidR="00CF76E5" w:rsidRPr="00AE7CA9" w:rsidRDefault="00CF76E5" w:rsidP="00CF76E5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85E42B5" w14:textId="77777777" w:rsidR="00CF76E5" w:rsidRPr="002175F4" w:rsidRDefault="00CF76E5" w:rsidP="00CF76E5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S</w:t>
      </w:r>
      <w:r w:rsidRPr="002175F4">
        <w:rPr>
          <w:rFonts w:ascii="Arial" w:hAnsi="Arial" w:cs="Arial"/>
          <w:b/>
          <w:lang w:val="en-US"/>
        </w:rPr>
        <w:t>3. ARID1</w:t>
      </w:r>
      <w:r>
        <w:rPr>
          <w:rFonts w:ascii="Arial" w:hAnsi="Arial" w:cs="Arial"/>
          <w:b/>
          <w:lang w:val="en-US"/>
        </w:rPr>
        <w:t>A loss</w:t>
      </w:r>
      <w:r w:rsidRPr="002175F4">
        <w:rPr>
          <w:rFonts w:ascii="Arial" w:hAnsi="Arial" w:cs="Arial"/>
          <w:b/>
          <w:lang w:val="en-US"/>
        </w:rPr>
        <w:t xml:space="preserve"> correlates with ANXA1 expression</w:t>
      </w:r>
      <w:r>
        <w:rPr>
          <w:rFonts w:ascii="Arial" w:hAnsi="Arial" w:cs="Arial"/>
          <w:b/>
          <w:lang w:val="en-US"/>
        </w:rPr>
        <w:t xml:space="preserve"> in endometrial cancer</w:t>
      </w:r>
    </w:p>
    <w:p w14:paraId="333206ED" w14:textId="77777777" w:rsidR="00CF76E5" w:rsidRPr="002175F4" w:rsidRDefault="00CF76E5" w:rsidP="00CF76E5">
      <w:pPr>
        <w:spacing w:line="360" w:lineRule="auto"/>
        <w:jc w:val="both"/>
        <w:rPr>
          <w:rFonts w:ascii="Arial" w:hAnsi="Arial"/>
          <w:lang w:val="en-US"/>
        </w:rPr>
      </w:pPr>
      <w:r w:rsidRPr="002175F4">
        <w:rPr>
          <w:rFonts w:ascii="Arial" w:hAnsi="Arial"/>
          <w:lang w:val="en-US"/>
        </w:rPr>
        <w:t>(</w:t>
      </w:r>
      <w:r w:rsidRPr="00B65E47">
        <w:rPr>
          <w:rFonts w:ascii="Arial" w:hAnsi="Arial"/>
          <w:b/>
          <w:lang w:val="en-US"/>
        </w:rPr>
        <w:t>A</w:t>
      </w:r>
      <w:r w:rsidRPr="002175F4">
        <w:rPr>
          <w:rFonts w:ascii="Arial" w:hAnsi="Arial"/>
          <w:lang w:val="en-US"/>
        </w:rPr>
        <w:t xml:space="preserve">) Boxplot of </w:t>
      </w:r>
      <w:r w:rsidRPr="002175F4">
        <w:rPr>
          <w:rFonts w:ascii="Arial" w:hAnsi="Arial"/>
          <w:i/>
          <w:lang w:val="en-US"/>
        </w:rPr>
        <w:t xml:space="preserve">ANXA1 </w:t>
      </w:r>
      <w:r w:rsidRPr="00A6211B">
        <w:rPr>
          <w:rFonts w:ascii="Arial" w:hAnsi="Arial"/>
          <w:lang w:val="en-US"/>
        </w:rPr>
        <w:t>TCGA</w:t>
      </w:r>
      <w:r>
        <w:rPr>
          <w:rFonts w:ascii="Arial" w:hAnsi="Arial"/>
          <w:i/>
          <w:lang w:val="en-US"/>
        </w:rPr>
        <w:t xml:space="preserve"> </w:t>
      </w:r>
      <w:r w:rsidRPr="002175F4">
        <w:rPr>
          <w:rFonts w:ascii="Arial" w:hAnsi="Arial"/>
          <w:lang w:val="en-US"/>
        </w:rPr>
        <w:t xml:space="preserve">mRNA expression levels for endometrial patient tumors divided in </w:t>
      </w:r>
      <w:r w:rsidRPr="002175F4">
        <w:rPr>
          <w:rFonts w:ascii="Arial" w:hAnsi="Arial"/>
          <w:i/>
          <w:lang w:val="en-US"/>
        </w:rPr>
        <w:t>ARID1A</w:t>
      </w:r>
      <w:r w:rsidRPr="002175F4">
        <w:rPr>
          <w:rFonts w:ascii="Arial" w:hAnsi="Arial"/>
          <w:lang w:val="en-US"/>
        </w:rPr>
        <w:t xml:space="preserve"> </w:t>
      </w:r>
      <w:proofErr w:type="spellStart"/>
      <w:r w:rsidRPr="002175F4">
        <w:rPr>
          <w:rFonts w:ascii="Arial" w:hAnsi="Arial"/>
          <w:lang w:val="en-US"/>
        </w:rPr>
        <w:t>wildtype</w:t>
      </w:r>
      <w:proofErr w:type="spellEnd"/>
      <w:r w:rsidRPr="002175F4">
        <w:rPr>
          <w:rFonts w:ascii="Arial" w:hAnsi="Arial"/>
          <w:lang w:val="en-US"/>
        </w:rPr>
        <w:t xml:space="preserve"> (n=156) and ARID1A mutant (n=82) tumors.</w:t>
      </w:r>
    </w:p>
    <w:p w14:paraId="21407E87" w14:textId="77777777" w:rsidR="00CF76E5" w:rsidRPr="00A6211B" w:rsidRDefault="00CF76E5" w:rsidP="00CF76E5">
      <w:pPr>
        <w:spacing w:line="360" w:lineRule="auto"/>
        <w:jc w:val="both"/>
        <w:rPr>
          <w:rFonts w:ascii="Arial" w:hAnsi="Arial"/>
          <w:lang w:val="en-US"/>
        </w:rPr>
      </w:pPr>
      <w:r w:rsidRPr="002175F4">
        <w:rPr>
          <w:rFonts w:ascii="Arial" w:hAnsi="Arial"/>
          <w:lang w:val="en-US"/>
        </w:rPr>
        <w:lastRenderedPageBreak/>
        <w:t>(</w:t>
      </w:r>
      <w:r w:rsidRPr="00B65E47">
        <w:rPr>
          <w:rFonts w:ascii="Arial" w:hAnsi="Arial"/>
          <w:b/>
          <w:lang w:val="en-US"/>
        </w:rPr>
        <w:t>B</w:t>
      </w:r>
      <w:r w:rsidRPr="002175F4">
        <w:rPr>
          <w:rFonts w:ascii="Arial" w:hAnsi="Arial"/>
          <w:lang w:val="en-US"/>
        </w:rPr>
        <w:t xml:space="preserve">) Boxplot of </w:t>
      </w:r>
      <w:r w:rsidRPr="002175F4">
        <w:rPr>
          <w:rFonts w:ascii="Arial" w:hAnsi="Arial"/>
          <w:i/>
          <w:lang w:val="en-US"/>
        </w:rPr>
        <w:t xml:space="preserve">ANXA1 </w:t>
      </w:r>
      <w:r w:rsidRPr="00A6211B">
        <w:rPr>
          <w:rFonts w:ascii="Arial" w:hAnsi="Arial"/>
          <w:lang w:val="en-US"/>
        </w:rPr>
        <w:t>TCGA</w:t>
      </w:r>
      <w:r>
        <w:rPr>
          <w:rFonts w:ascii="Arial" w:hAnsi="Arial"/>
          <w:i/>
          <w:lang w:val="en-US"/>
        </w:rPr>
        <w:t xml:space="preserve"> </w:t>
      </w:r>
      <w:r w:rsidRPr="002175F4">
        <w:rPr>
          <w:rFonts w:ascii="Arial" w:hAnsi="Arial"/>
          <w:lang w:val="en-US"/>
        </w:rPr>
        <w:t xml:space="preserve">RPPA protein levels for endometrial patient tumors divided in </w:t>
      </w:r>
      <w:r w:rsidRPr="002175F4">
        <w:rPr>
          <w:rFonts w:ascii="Arial" w:hAnsi="Arial"/>
          <w:i/>
          <w:lang w:val="en-US"/>
        </w:rPr>
        <w:t>ARID1A</w:t>
      </w:r>
      <w:r w:rsidRPr="002175F4">
        <w:rPr>
          <w:rFonts w:ascii="Arial" w:hAnsi="Arial"/>
          <w:lang w:val="en-US"/>
        </w:rPr>
        <w:t xml:space="preserve"> </w:t>
      </w:r>
      <w:proofErr w:type="spellStart"/>
      <w:r w:rsidRPr="002175F4">
        <w:rPr>
          <w:rFonts w:ascii="Arial" w:hAnsi="Arial"/>
          <w:lang w:val="en-US"/>
        </w:rPr>
        <w:t>wildtype</w:t>
      </w:r>
      <w:proofErr w:type="spellEnd"/>
      <w:r w:rsidRPr="002175F4">
        <w:rPr>
          <w:rFonts w:ascii="Arial" w:hAnsi="Arial"/>
          <w:lang w:val="en-US"/>
        </w:rPr>
        <w:t xml:space="preserve"> (n=116) and ARID1A mutant (n=67) tumors.</w:t>
      </w:r>
    </w:p>
    <w:p w14:paraId="4242BF02" w14:textId="77777777" w:rsidR="00CF76E5" w:rsidRPr="00F16B29" w:rsidRDefault="00CF76E5" w:rsidP="00CF76E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Pr="00A6211B">
        <w:rPr>
          <w:rFonts w:ascii="Arial" w:hAnsi="Arial" w:cs="Arial"/>
          <w:b/>
          <w:lang w:val="en-US"/>
        </w:rPr>
        <w:t>C</w:t>
      </w:r>
      <w:r w:rsidRPr="00F16B29">
        <w:rPr>
          <w:rFonts w:ascii="Arial" w:hAnsi="Arial" w:cs="Arial"/>
          <w:lang w:val="en-US"/>
        </w:rPr>
        <w:t xml:space="preserve">) </w:t>
      </w:r>
      <w:r w:rsidRPr="00A6211B">
        <w:rPr>
          <w:rFonts w:ascii="Arial" w:hAnsi="Arial" w:cs="Arial"/>
          <w:lang w:val="en-US"/>
        </w:rPr>
        <w:t>ARID1A immunohistochemistry (IHC) inversely correlates with ANXA1 IHC in endometrial cancer.</w:t>
      </w:r>
      <w:r w:rsidRPr="00F16B29">
        <w:rPr>
          <w:rFonts w:ascii="Arial" w:hAnsi="Arial" w:cs="Arial"/>
          <w:lang w:val="en-US"/>
        </w:rPr>
        <w:t xml:space="preserve"> Based on nuclear staining intensity for ARID1A on whole sections, the samples were divided into ARID1A normal (moderate and strong positive, n=19) and ARID1A loss (no detectable nuclear staining, n=25). Cytoplasmic ANXA1 was scored as low (no or very weak staining), moderate or strong.</w:t>
      </w:r>
    </w:p>
    <w:p w14:paraId="15A691E3" w14:textId="77777777" w:rsidR="00CF76E5" w:rsidRDefault="00CF76E5" w:rsidP="00CF76E5">
      <w:pPr>
        <w:spacing w:line="360" w:lineRule="auto"/>
        <w:jc w:val="both"/>
        <w:rPr>
          <w:rFonts w:ascii="Arial" w:hAnsi="Arial"/>
          <w:lang w:val="en-US"/>
        </w:rPr>
      </w:pPr>
    </w:p>
    <w:p w14:paraId="6D6F11D2" w14:textId="77777777" w:rsidR="00EF7E6B" w:rsidRPr="00724619" w:rsidRDefault="00EF7E6B" w:rsidP="00EF7E6B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Figure S4 Exogenous ANXA1 does not confer </w:t>
      </w:r>
      <w:proofErr w:type="spellStart"/>
      <w:r>
        <w:rPr>
          <w:rFonts w:ascii="Arial" w:hAnsi="Arial" w:cs="Arial"/>
          <w:b/>
          <w:lang w:val="en-US"/>
        </w:rPr>
        <w:t>trastuzumab</w:t>
      </w:r>
      <w:proofErr w:type="spellEnd"/>
      <w:r>
        <w:rPr>
          <w:rFonts w:ascii="Arial" w:hAnsi="Arial" w:cs="Arial"/>
          <w:b/>
          <w:lang w:val="en-US"/>
        </w:rPr>
        <w:t xml:space="preserve"> resistance</w:t>
      </w:r>
    </w:p>
    <w:p w14:paraId="69473FFF" w14:textId="590B8C9D" w:rsidR="00EF7E6B" w:rsidRDefault="00EF7E6B" w:rsidP="00EF7E6B">
      <w:pPr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en-US"/>
        </w:rPr>
        <w:t xml:space="preserve">(A) BT474 cells stably transduced with a LX304-ANXA1 vector (LX-ANXA1) were subjected to Western blot analysis. </w:t>
      </w:r>
      <w:r>
        <w:rPr>
          <w:rFonts w:ascii="Arial" w:hAnsi="Arial"/>
          <w:lang w:val="en-US"/>
        </w:rPr>
        <w:t xml:space="preserve">Lysates were prepared three days after </w:t>
      </w:r>
      <w:proofErr w:type="spellStart"/>
      <w:r>
        <w:rPr>
          <w:rFonts w:ascii="Arial" w:hAnsi="Arial"/>
          <w:lang w:val="en-US"/>
        </w:rPr>
        <w:t>trastuzumab</w:t>
      </w:r>
      <w:proofErr w:type="spellEnd"/>
      <w:r>
        <w:rPr>
          <w:rFonts w:ascii="Arial" w:hAnsi="Arial"/>
          <w:lang w:val="en-US"/>
        </w:rPr>
        <w:t xml:space="preserve"> (2µg/ml) exposure and probed for the indicated proteins. </w:t>
      </w:r>
      <w:r>
        <w:rPr>
          <w:rFonts w:ascii="Arial" w:hAnsi="Arial"/>
          <w:noProof/>
          <w:lang w:val="en-US" w:eastAsia="en-US"/>
        </w:rPr>
        <w:t xml:space="preserve"> (B) </w:t>
      </w:r>
      <w:r w:rsidRPr="009A022B">
        <w:rPr>
          <w:rFonts w:ascii="Arial" w:hAnsi="Arial"/>
          <w:lang w:val="en-US"/>
        </w:rPr>
        <w:t xml:space="preserve">BT474 cells expressing </w:t>
      </w:r>
      <w:r>
        <w:rPr>
          <w:rFonts w:ascii="Arial" w:hAnsi="Arial"/>
          <w:lang w:val="en-US"/>
        </w:rPr>
        <w:t>only empty vector (ctrl) and BT474 cells stably expressing the LX304-ANXA1 vector</w:t>
      </w:r>
      <w:r w:rsidRPr="009A022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(LX-ANXA1) </w:t>
      </w:r>
      <w:r w:rsidRPr="009A022B">
        <w:rPr>
          <w:rFonts w:ascii="Arial" w:hAnsi="Arial" w:cs="Arial"/>
          <w:lang w:val="en-US"/>
        </w:rPr>
        <w:t xml:space="preserve">were cultured in the absence or presence of </w:t>
      </w:r>
      <w:proofErr w:type="gramStart"/>
      <w:r>
        <w:rPr>
          <w:rFonts w:ascii="Arial" w:hAnsi="Arial" w:cs="Arial"/>
          <w:lang w:val="en-US"/>
        </w:rPr>
        <w:t>2 µ</w:t>
      </w:r>
      <w:proofErr w:type="gramEnd"/>
      <w:r>
        <w:rPr>
          <w:rFonts w:ascii="Arial" w:hAnsi="Arial" w:cs="Arial"/>
          <w:lang w:val="en-US"/>
        </w:rPr>
        <w:t xml:space="preserve">g/ml </w:t>
      </w:r>
      <w:proofErr w:type="spellStart"/>
      <w:r>
        <w:rPr>
          <w:rFonts w:ascii="Arial" w:hAnsi="Arial" w:cs="Arial"/>
          <w:lang w:val="en-US"/>
        </w:rPr>
        <w:t>trastuzumab</w:t>
      </w:r>
      <w:proofErr w:type="spellEnd"/>
      <w:r>
        <w:rPr>
          <w:rFonts w:ascii="Arial" w:hAnsi="Arial" w:cs="Arial"/>
          <w:lang w:val="en-US"/>
        </w:rPr>
        <w:t>.</w:t>
      </w:r>
      <w:r w:rsidRPr="009A022B">
        <w:rPr>
          <w:rFonts w:ascii="Arial" w:hAnsi="Arial" w:cs="Arial"/>
          <w:lang w:val="en-US"/>
        </w:rPr>
        <w:t xml:space="preserve"> The cells were fixed, stained and photographed after 21 days.</w:t>
      </w:r>
    </w:p>
    <w:p w14:paraId="323762FE" w14:textId="77777777" w:rsidR="00CF76E5" w:rsidRPr="002175F4" w:rsidRDefault="00CF76E5" w:rsidP="00CF76E5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11DD8697" w14:textId="4B293598" w:rsidR="00CF76E5" w:rsidRPr="002175F4" w:rsidRDefault="00EF7E6B" w:rsidP="00CF76E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S5</w:t>
      </w:r>
      <w:r w:rsidR="00CF76E5" w:rsidRPr="002175F4">
        <w:rPr>
          <w:rFonts w:ascii="Arial" w:hAnsi="Arial" w:cs="Arial"/>
          <w:b/>
          <w:bCs/>
          <w:lang w:val="en-US"/>
        </w:rPr>
        <w:t xml:space="preserve"> </w:t>
      </w:r>
      <w:r w:rsidR="00CF76E5" w:rsidRPr="002175F4">
        <w:rPr>
          <w:rFonts w:ascii="Arial" w:hAnsi="Arial" w:cs="Arial"/>
          <w:b/>
          <w:iCs/>
          <w:lang w:val="en-US"/>
        </w:rPr>
        <w:t>METABRIC Boxplot and survival figure</w:t>
      </w:r>
      <w:r w:rsidR="00CF76E5" w:rsidRPr="002175F4">
        <w:rPr>
          <w:rFonts w:ascii="Arial" w:hAnsi="Arial" w:cs="Arial"/>
          <w:iCs/>
          <w:lang w:val="en-US"/>
        </w:rPr>
        <w:t xml:space="preserve"> </w:t>
      </w:r>
    </w:p>
    <w:p w14:paraId="7A80F9F0" w14:textId="0B7C8247" w:rsidR="00CF76E5" w:rsidRPr="00724619" w:rsidRDefault="00724619" w:rsidP="00724619">
      <w:pPr>
        <w:spacing w:line="360" w:lineRule="auto"/>
        <w:jc w:val="both"/>
        <w:rPr>
          <w:rFonts w:ascii="Arial" w:hAnsi="Arial" w:cs="Arial"/>
          <w:lang w:val="en-US"/>
        </w:rPr>
      </w:pPr>
      <w:r w:rsidRPr="00724619">
        <w:rPr>
          <w:rFonts w:ascii="Arial" w:hAnsi="Arial" w:cs="Arial"/>
          <w:b/>
          <w:lang w:val="en-US"/>
        </w:rPr>
        <w:t>(</w:t>
      </w:r>
      <w:r w:rsidRPr="00724619">
        <w:rPr>
          <w:rFonts w:ascii="Arial" w:hAnsi="Arial" w:cs="Arial"/>
          <w:lang w:val="en-US"/>
        </w:rPr>
        <w:t>A)</w:t>
      </w:r>
      <w:r>
        <w:rPr>
          <w:rFonts w:ascii="Arial" w:hAnsi="Arial" w:cs="Arial"/>
          <w:i/>
          <w:lang w:val="en-US"/>
        </w:rPr>
        <w:t xml:space="preserve"> </w:t>
      </w:r>
      <w:r w:rsidR="00CF76E5" w:rsidRPr="00724619">
        <w:rPr>
          <w:rFonts w:ascii="Arial" w:hAnsi="Arial" w:cs="Arial"/>
          <w:i/>
          <w:lang w:val="en-US"/>
        </w:rPr>
        <w:t>ANXA1</w:t>
      </w:r>
      <w:r w:rsidR="00CF76E5" w:rsidRPr="00724619">
        <w:rPr>
          <w:rFonts w:ascii="Arial" w:hAnsi="Arial" w:cs="Arial"/>
          <w:lang w:val="en-US"/>
        </w:rPr>
        <w:t xml:space="preserve"> gene expression distribution expression in the METABRIC dataset according to pam50 subtypes. (</w:t>
      </w:r>
      <w:r w:rsidR="00CF76E5" w:rsidRPr="00724619">
        <w:rPr>
          <w:rFonts w:ascii="Arial" w:hAnsi="Arial" w:cs="Arial"/>
          <w:b/>
          <w:lang w:val="en-US"/>
        </w:rPr>
        <w:t>B-F</w:t>
      </w:r>
      <w:r w:rsidR="00CF76E5" w:rsidRPr="00724619">
        <w:rPr>
          <w:rFonts w:ascii="Arial" w:hAnsi="Arial" w:cs="Arial"/>
          <w:lang w:val="en-US"/>
        </w:rPr>
        <w:t xml:space="preserve">) Kaplan-Meier plots of the effect of the </w:t>
      </w:r>
      <w:r w:rsidR="00CF76E5" w:rsidRPr="00724619">
        <w:rPr>
          <w:rFonts w:ascii="Arial" w:hAnsi="Arial" w:cs="Arial"/>
          <w:i/>
          <w:lang w:val="en-US"/>
        </w:rPr>
        <w:t>ANXA1</w:t>
      </w:r>
      <w:r w:rsidR="00CF76E5" w:rsidRPr="00724619">
        <w:rPr>
          <w:rFonts w:ascii="Arial" w:hAnsi="Arial" w:cs="Arial"/>
          <w:lang w:val="en-US"/>
        </w:rPr>
        <w:t xml:space="preserve"> gene expression in the METABRIC dataset in all (</w:t>
      </w:r>
      <w:r w:rsidR="00CF76E5" w:rsidRPr="00724619">
        <w:rPr>
          <w:rFonts w:ascii="Arial" w:hAnsi="Arial" w:cs="Arial"/>
          <w:b/>
          <w:lang w:val="en-US"/>
        </w:rPr>
        <w:t>B</w:t>
      </w:r>
      <w:r w:rsidR="00CF76E5" w:rsidRPr="00724619">
        <w:rPr>
          <w:rFonts w:ascii="Arial" w:hAnsi="Arial" w:cs="Arial"/>
          <w:lang w:val="en-US"/>
        </w:rPr>
        <w:t>) patients or according to the pam50 subtype. (</w:t>
      </w:r>
      <w:r w:rsidR="00CF76E5" w:rsidRPr="00724619">
        <w:rPr>
          <w:rFonts w:ascii="Arial" w:hAnsi="Arial" w:cs="Arial"/>
          <w:b/>
          <w:lang w:val="en-US"/>
        </w:rPr>
        <w:t>C</w:t>
      </w:r>
      <w:r w:rsidR="00CF76E5" w:rsidRPr="00724619">
        <w:rPr>
          <w:rFonts w:ascii="Arial" w:hAnsi="Arial" w:cs="Arial"/>
          <w:lang w:val="en-US"/>
        </w:rPr>
        <w:t>) Basal, (</w:t>
      </w:r>
      <w:r w:rsidR="00CF76E5" w:rsidRPr="00724619">
        <w:rPr>
          <w:rFonts w:ascii="Arial" w:hAnsi="Arial" w:cs="Arial"/>
          <w:b/>
          <w:lang w:val="en-US"/>
        </w:rPr>
        <w:t>D</w:t>
      </w:r>
      <w:r w:rsidR="00CF76E5" w:rsidRPr="00724619">
        <w:rPr>
          <w:rFonts w:ascii="Arial" w:hAnsi="Arial" w:cs="Arial"/>
          <w:lang w:val="en-US"/>
        </w:rPr>
        <w:t>) HER2, (</w:t>
      </w:r>
      <w:r w:rsidR="00CF76E5" w:rsidRPr="00724619">
        <w:rPr>
          <w:rFonts w:ascii="Arial" w:hAnsi="Arial" w:cs="Arial"/>
          <w:b/>
          <w:lang w:val="en-US"/>
        </w:rPr>
        <w:t>E</w:t>
      </w:r>
      <w:r w:rsidR="00CF76E5" w:rsidRPr="00724619">
        <w:rPr>
          <w:rFonts w:ascii="Arial" w:hAnsi="Arial" w:cs="Arial"/>
          <w:lang w:val="en-US"/>
        </w:rPr>
        <w:t>) Luminal A and (</w:t>
      </w:r>
      <w:r w:rsidR="00CF76E5" w:rsidRPr="00724619">
        <w:rPr>
          <w:rFonts w:ascii="Arial" w:hAnsi="Arial" w:cs="Arial"/>
          <w:b/>
          <w:lang w:val="en-US"/>
        </w:rPr>
        <w:t>F</w:t>
      </w:r>
      <w:r w:rsidR="00CF76E5" w:rsidRPr="00724619">
        <w:rPr>
          <w:rFonts w:ascii="Arial" w:hAnsi="Arial" w:cs="Arial"/>
          <w:lang w:val="en-US"/>
        </w:rPr>
        <w:t>) Luminal B.</w:t>
      </w:r>
    </w:p>
    <w:p w14:paraId="7DC28AAA" w14:textId="77777777" w:rsidR="00724619" w:rsidRPr="00724619" w:rsidRDefault="00724619" w:rsidP="00724619">
      <w:pPr>
        <w:spacing w:line="360" w:lineRule="auto"/>
        <w:rPr>
          <w:lang w:val="en-US"/>
        </w:rPr>
      </w:pPr>
    </w:p>
    <w:p w14:paraId="4B7FD68F" w14:textId="37377806" w:rsidR="00742A27" w:rsidRPr="00B31404" w:rsidRDefault="00742A27" w:rsidP="00B31404">
      <w:pPr>
        <w:tabs>
          <w:tab w:val="left" w:pos="1760"/>
        </w:tabs>
        <w:spacing w:line="360" w:lineRule="auto"/>
        <w:rPr>
          <w:rFonts w:ascii="Arial" w:eastAsia="Cambria" w:hAnsi="Arial"/>
          <w:lang w:val="en-US" w:eastAsia="en-US"/>
        </w:rPr>
      </w:pPr>
      <w:bookmarkStart w:id="0" w:name="_GoBack"/>
      <w:bookmarkEnd w:id="0"/>
    </w:p>
    <w:sectPr w:rsidR="00742A27" w:rsidRPr="00B31404" w:rsidSect="00742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8EF"/>
    <w:multiLevelType w:val="hybridMultilevel"/>
    <w:tmpl w:val="E5AE0764"/>
    <w:lvl w:ilvl="0" w:tplc="54EE921C">
      <w:start w:val="1"/>
      <w:numFmt w:val="upperLetter"/>
      <w:lvlText w:val="(%1)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E5"/>
    <w:rsid w:val="000139D7"/>
    <w:rsid w:val="00344680"/>
    <w:rsid w:val="004C2D52"/>
    <w:rsid w:val="005D072E"/>
    <w:rsid w:val="007242E4"/>
    <w:rsid w:val="00724619"/>
    <w:rsid w:val="00742A27"/>
    <w:rsid w:val="0088357A"/>
    <w:rsid w:val="00B31404"/>
    <w:rsid w:val="00B43D8F"/>
    <w:rsid w:val="00CF76E5"/>
    <w:rsid w:val="00D70FFB"/>
    <w:rsid w:val="00EF2593"/>
    <w:rsid w:val="00EF7E6B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86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E5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E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E5"/>
    <w:rPr>
      <w:rFonts w:ascii="Lucida Grande" w:eastAsia="Times New Roman" w:hAnsi="Lucida Grande" w:cs="Lucida Grande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72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E5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E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E5"/>
    <w:rPr>
      <w:rFonts w:ascii="Lucida Grande" w:eastAsia="Times New Roman" w:hAnsi="Lucida Grande" w:cs="Lucida Grande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72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2795</Characters>
  <Application>Microsoft Macintosh Word</Application>
  <DocSecurity>0</DocSecurity>
  <Lines>23</Lines>
  <Paragraphs>6</Paragraphs>
  <ScaleCrop>false</ScaleCrop>
  <Company>NKI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k.berns Berns</dc:creator>
  <cp:keywords/>
  <dc:description/>
  <cp:lastModifiedBy>k.berns Berns</cp:lastModifiedBy>
  <cp:revision>3</cp:revision>
  <dcterms:created xsi:type="dcterms:W3CDTF">2016-03-29T14:30:00Z</dcterms:created>
  <dcterms:modified xsi:type="dcterms:W3CDTF">2016-03-29T14:35:00Z</dcterms:modified>
</cp:coreProperties>
</file>