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0" w:rsidRPr="00B11853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  <w:rPr>
          <w:b/>
          <w:sz w:val="28"/>
        </w:rPr>
      </w:pPr>
      <w:bookmarkStart w:id="0" w:name="_GoBack"/>
      <w:bookmarkEnd w:id="0"/>
      <w:r w:rsidRPr="00B11853">
        <w:rPr>
          <w:b/>
          <w:sz w:val="28"/>
        </w:rPr>
        <w:t>Supplementary Materials</w:t>
      </w:r>
    </w:p>
    <w:p w:rsidR="00EA56FA" w:rsidRPr="00B11853" w:rsidRDefault="00EA56FA" w:rsidP="00EA56FA">
      <w:pPr>
        <w:spacing w:line="480" w:lineRule="auto"/>
        <w:rPr>
          <w:sz w:val="28"/>
        </w:rPr>
      </w:pPr>
      <w:r w:rsidRPr="00B11853">
        <w:rPr>
          <w:b/>
          <w:sz w:val="28"/>
        </w:rPr>
        <w:t>Methods</w:t>
      </w:r>
    </w:p>
    <w:p w:rsidR="00B11853" w:rsidRPr="00B11853" w:rsidRDefault="00B11853" w:rsidP="00EA56FA">
      <w:pPr>
        <w:spacing w:line="480" w:lineRule="auto"/>
      </w:pPr>
      <w:r>
        <w:rPr>
          <w:b/>
        </w:rPr>
        <w:t>PD-1 receptor modulation</w:t>
      </w:r>
    </w:p>
    <w:p w:rsidR="00EA56FA" w:rsidRDefault="00EA56FA" w:rsidP="00EA56FA">
      <w:pPr>
        <w:spacing w:line="480" w:lineRule="auto"/>
      </w:pPr>
      <w:r w:rsidRPr="005801BC">
        <w:t xml:space="preserve">PD-1 receptor modulation was assessed in venous blood samples collected </w:t>
      </w:r>
      <w:proofErr w:type="spellStart"/>
      <w:r w:rsidRPr="005801BC">
        <w:t>predose</w:t>
      </w:r>
      <w:proofErr w:type="spellEnd"/>
      <w:r w:rsidRPr="005801BC">
        <w:t>, 24 (</w:t>
      </w:r>
      <w:r w:rsidRPr="005801BC">
        <w:rPr>
          <w:rFonts w:cs="Times New Roman"/>
        </w:rPr>
        <w:t>±</w:t>
      </w:r>
      <w:r w:rsidRPr="005801BC">
        <w:t xml:space="preserve">2) hours after infusion, and on days 8 and 29 of cycle 1; </w:t>
      </w:r>
      <w:proofErr w:type="spellStart"/>
      <w:r w:rsidRPr="005801BC">
        <w:t>predose</w:t>
      </w:r>
      <w:proofErr w:type="spellEnd"/>
      <w:r w:rsidRPr="005801BC">
        <w:t xml:space="preserve"> in cycle 2 and every fourth cycle thereafter for the first 12 months; and 30 days after the last pembrolizumab dose in the dose-escalation and expansion cohorts and in samples collected </w:t>
      </w:r>
      <w:proofErr w:type="spellStart"/>
      <w:r w:rsidRPr="005801BC">
        <w:t>predose</w:t>
      </w:r>
      <w:proofErr w:type="spellEnd"/>
      <w:r w:rsidRPr="005801BC">
        <w:t>, 24 (</w:t>
      </w:r>
      <w:r w:rsidRPr="005801BC">
        <w:rPr>
          <w:rFonts w:cs="Times New Roman"/>
        </w:rPr>
        <w:t>±</w:t>
      </w:r>
      <w:r w:rsidRPr="005801BC">
        <w:t xml:space="preserve">2) hours after infusion, and </w:t>
      </w:r>
      <w:proofErr w:type="spellStart"/>
      <w:r w:rsidRPr="005801BC">
        <w:t>predose</w:t>
      </w:r>
      <w:proofErr w:type="spellEnd"/>
      <w:r w:rsidRPr="005801BC">
        <w:t xml:space="preserve"> on day 8 of cycle 1; </w:t>
      </w:r>
      <w:proofErr w:type="spellStart"/>
      <w:r w:rsidRPr="005801BC">
        <w:t>predose</w:t>
      </w:r>
      <w:proofErr w:type="spellEnd"/>
      <w:r w:rsidRPr="005801BC">
        <w:t xml:space="preserve"> of cycles 2 and 3 and every fourth cycle thereafter for the first 12 months; and 30 days after the last pembrolizumab dose in the </w:t>
      </w:r>
      <w:proofErr w:type="spellStart"/>
      <w:r w:rsidRPr="005801BC">
        <w:t>intrapatient</w:t>
      </w:r>
      <w:proofErr w:type="spellEnd"/>
      <w:r w:rsidRPr="005801BC">
        <w:t xml:space="preserve"> dose-escalation cohort. Dilutions (1:10) of whole blood were incubated with staphylococcal enterotoxin B (SEB) alone or with SEB plus pembrolizumab 25 </w:t>
      </w:r>
      <w:proofErr w:type="spellStart"/>
      <w:r w:rsidRPr="005801BC">
        <w:rPr>
          <w:rFonts w:cs="Times New Roman"/>
        </w:rPr>
        <w:t>μ</w:t>
      </w:r>
      <w:r w:rsidRPr="005801BC">
        <w:t>g</w:t>
      </w:r>
      <w:proofErr w:type="spellEnd"/>
      <w:r w:rsidRPr="005801BC">
        <w:t>/mL for 4 days at 37</w:t>
      </w:r>
      <w:r w:rsidRPr="005801BC">
        <w:rPr>
          <w:rFonts w:cs="Times New Roman"/>
        </w:rPr>
        <w:t>°</w:t>
      </w:r>
      <w:r w:rsidRPr="005801BC">
        <w:t>C. Interleukin (IL)-2 concentrations were measured in the supernatant of both samples using the Human IL-2 Ultra-sensitive kit (</w:t>
      </w:r>
      <w:proofErr w:type="spellStart"/>
      <w:r w:rsidRPr="005801BC">
        <w:t>Meso</w:t>
      </w:r>
      <w:proofErr w:type="spellEnd"/>
      <w:r w:rsidRPr="005801BC">
        <w:t xml:space="preserve"> Scale Diagnostics; Rockville, MD) (LLOQ, </w:t>
      </w:r>
      <w:proofErr w:type="gramStart"/>
      <w:r w:rsidRPr="005801BC">
        <w:t>4</w:t>
      </w:r>
      <w:r w:rsidRPr="005801BC">
        <w:rPr>
          <w:rFonts w:eastAsia="Times New Roman" w:cs="Times New Roman"/>
          <w:color w:val="000000"/>
          <w:szCs w:val="24"/>
        </w:rPr>
        <w:t>.</w:t>
      </w:r>
      <w:r w:rsidRPr="005801BC">
        <w:t xml:space="preserve">0 </w:t>
      </w:r>
      <w:proofErr w:type="spellStart"/>
      <w:r w:rsidRPr="005801BC">
        <w:t>pg</w:t>
      </w:r>
      <w:proofErr w:type="spellEnd"/>
      <w:r w:rsidRPr="005801BC">
        <w:t>/mL</w:t>
      </w:r>
      <w:proofErr w:type="gramEnd"/>
      <w:r w:rsidRPr="005801BC">
        <w:t xml:space="preserve">). The stimulation ratio was calculated by dividing the IL-2 concentration measured in a sample treated with SEB plus pembrolizumab by that measured in the same sample treated with SEB alone. This process effectively </w:t>
      </w:r>
      <w:r>
        <w:t>compares the stimulation achieved by endogenous levels of pembrolizumab to the maximal stimulation possible</w:t>
      </w:r>
      <w:r w:rsidRPr="005801BC">
        <w:t>. At maximal pembrolizumab concentrations, the IL-2 level in both samples was approximately equal, leading to a stimulation ratio of approximately 1.</w:t>
      </w:r>
    </w:p>
    <w:p w:rsidR="00B11853" w:rsidRDefault="00B11853" w:rsidP="00D94684">
      <w:pPr>
        <w:spacing w:line="480" w:lineRule="auto"/>
      </w:pPr>
    </w:p>
    <w:p w:rsidR="00B11853" w:rsidRPr="00B11853" w:rsidRDefault="00B11853" w:rsidP="00D94684">
      <w:pPr>
        <w:spacing w:line="480" w:lineRule="auto"/>
      </w:pPr>
      <w:r>
        <w:rPr>
          <w:b/>
        </w:rPr>
        <w:t>PD-L1 Expression</w:t>
      </w:r>
    </w:p>
    <w:p w:rsidR="00B11853" w:rsidRDefault="00EA56FA" w:rsidP="00D94684">
      <w:pPr>
        <w:spacing w:line="480" w:lineRule="auto"/>
      </w:pPr>
      <w:r w:rsidRPr="005801BC">
        <w:t xml:space="preserve">If available, archived tumor tissue was collected from consenting patients. Although not mandatory, </w:t>
      </w:r>
      <w:r w:rsidR="00B11853">
        <w:t>newly collected</w:t>
      </w:r>
      <w:r w:rsidRPr="005801BC">
        <w:t xml:space="preserve"> biopsy specimens of readily accessible tumor lesions were obtained </w:t>
      </w:r>
      <w:r w:rsidRPr="005801BC">
        <w:lastRenderedPageBreak/>
        <w:t xml:space="preserve">within 60 days of the first pembrolizumab dose and 2 months after the start of therapy. PD-L1 expression was measured by immunohistochemistry performed on formalin-fixed, paraffin-embedded tissue sections using an assay developed by Merck Research Laboratories (Palo Alto, CA). Sections were </w:t>
      </w:r>
      <w:proofErr w:type="spellStart"/>
      <w:r w:rsidRPr="005801BC">
        <w:t>deparaffinized</w:t>
      </w:r>
      <w:proofErr w:type="spellEnd"/>
      <w:r w:rsidRPr="005801BC">
        <w:t xml:space="preserve"> and rehydrated with serial passage through changes of xylene and graded ethanol and were then subjected to heat-induced epitope retrieval in </w:t>
      </w:r>
      <w:proofErr w:type="spellStart"/>
      <w:r w:rsidRPr="005801BC">
        <w:t>EnVision</w:t>
      </w:r>
      <w:proofErr w:type="spellEnd"/>
      <w:r w:rsidRPr="005801BC">
        <w:t xml:space="preserve"> FLEX Target Retrieval Solution, high pH (</w:t>
      </w:r>
      <w:proofErr w:type="spellStart"/>
      <w:r w:rsidRPr="005801BC">
        <w:t>Dako</w:t>
      </w:r>
      <w:proofErr w:type="spellEnd"/>
      <w:r w:rsidRPr="005801BC">
        <w:t xml:space="preserve">, </w:t>
      </w:r>
      <w:proofErr w:type="spellStart"/>
      <w:r w:rsidRPr="005801BC">
        <w:t>Carpinteria</w:t>
      </w:r>
      <w:proofErr w:type="spellEnd"/>
      <w:r w:rsidRPr="005801BC">
        <w:t>, CA). Endogenous peroxidase in tissues was blocked by incubation of slides in 3% hydrogen peroxide solution before 60-minute incubation with the anti–PD-L1 antibody (clone 22C3; Merck Research Laboratories). Antigen–antibody binding was visualized by application of 3</w:t>
      </w:r>
      <w:proofErr w:type="gramStart"/>
      <w:r w:rsidRPr="005801BC">
        <w:t>,3’</w:t>
      </w:r>
      <w:proofErr w:type="gramEnd"/>
      <w:r w:rsidRPr="005801BC">
        <w:t xml:space="preserve"> </w:t>
      </w:r>
      <w:proofErr w:type="spellStart"/>
      <w:r w:rsidRPr="005801BC">
        <w:t>diaminobenzidine</w:t>
      </w:r>
      <w:proofErr w:type="spellEnd"/>
      <w:r w:rsidRPr="005801BC">
        <w:t xml:space="preserve"> chromogen (</w:t>
      </w:r>
      <w:proofErr w:type="spellStart"/>
      <w:r w:rsidRPr="005801BC">
        <w:t>Dako</w:t>
      </w:r>
      <w:proofErr w:type="spellEnd"/>
      <w:r w:rsidRPr="005801BC">
        <w:t xml:space="preserve">). Stained slides were counterstained with </w:t>
      </w:r>
      <w:proofErr w:type="spellStart"/>
      <w:r w:rsidRPr="005801BC">
        <w:t>hematoxylin</w:t>
      </w:r>
      <w:proofErr w:type="spellEnd"/>
      <w:r w:rsidRPr="005801BC">
        <w:t xml:space="preserve"> and evaluated for extent and intensity of signal by 2 pathologists (R.H. Pierce and J.H. Yearley). Samples scored as positive had membranous PD-L1 labeling of </w:t>
      </w:r>
      <w:r>
        <w:t xml:space="preserve">&gt;5% of </w:t>
      </w:r>
      <w:r w:rsidRPr="005801BC">
        <w:t>cells along the margins of tumor nodules that extended into the tumor parenchyma and clearly involved labeling of tumor cells. PD-L1 signal in samples scored as negative ranged from absent to sparse, was random in distribution, and was consistently absent from tumor cells.</w:t>
      </w:r>
    </w:p>
    <w:p w:rsidR="00B11853" w:rsidRDefault="00B11853" w:rsidP="00D94684">
      <w:pPr>
        <w:spacing w:line="480" w:lineRule="auto"/>
      </w:pPr>
    </w:p>
    <w:p w:rsidR="00B11853" w:rsidRPr="00B11853" w:rsidRDefault="00B11853" w:rsidP="00D94684">
      <w:pPr>
        <w:spacing w:line="480" w:lineRule="auto"/>
      </w:pPr>
      <w:r>
        <w:rPr>
          <w:b/>
        </w:rPr>
        <w:t>Viral antigen recall</w:t>
      </w:r>
    </w:p>
    <w:p w:rsidR="00EA56FA" w:rsidRDefault="00B11853" w:rsidP="00D94684">
      <w:pPr>
        <w:spacing w:line="480" w:lineRule="auto"/>
        <w:rPr>
          <w:b/>
        </w:rPr>
      </w:pPr>
      <w:r w:rsidRPr="005801BC">
        <w:t xml:space="preserve">The interferon gamma (IFN-γ) enzyme-linked </w:t>
      </w:r>
      <w:proofErr w:type="spellStart"/>
      <w:r w:rsidRPr="005801BC">
        <w:t>immunospot</w:t>
      </w:r>
      <w:proofErr w:type="spellEnd"/>
      <w:r w:rsidRPr="005801BC">
        <w:t xml:space="preserve"> (ELISPOT) assay was performed to assess the effect of pembrolizumab treatment on overall T-cell response to viral infection. Peripheral blood mononuclear cell (PBMC) samples were collected at pretreatment; days 3, 8, 15, and 22; and cycle 2, day 1 pre-infusion time points and were shipped in sodium heparin </w:t>
      </w:r>
      <w:proofErr w:type="spellStart"/>
      <w:r w:rsidRPr="005801BC">
        <w:t>vacutainers</w:t>
      </w:r>
      <w:proofErr w:type="spellEnd"/>
      <w:r w:rsidRPr="005801BC">
        <w:t xml:space="preserve"> (Becton</w:t>
      </w:r>
      <w:r>
        <w:t>,</w:t>
      </w:r>
      <w:r w:rsidRPr="005801BC">
        <w:t xml:space="preserve"> Dickinson</w:t>
      </w:r>
      <w:r>
        <w:t xml:space="preserve"> and Company, Franklin Lakes, NJ</w:t>
      </w:r>
      <w:r w:rsidRPr="005801BC">
        <w:t xml:space="preserve">) at ambient temperature for PBMC isolation and cryopreservation. Frozen PBMC samples were thawed and analyzed in </w:t>
      </w:r>
      <w:r w:rsidRPr="005801BC">
        <w:lastRenderedPageBreak/>
        <w:t xml:space="preserve">batches for IFN-γ ELISPOT </w:t>
      </w:r>
      <w:proofErr w:type="gramStart"/>
      <w:r w:rsidRPr="005801BC">
        <w:t>assay</w:t>
      </w:r>
      <w:proofErr w:type="gramEnd"/>
      <w:r w:rsidRPr="005801BC">
        <w:fldChar w:fldCharType="begin"/>
      </w:r>
      <w:r w:rsidRPr="005801BC">
        <w:instrText xml:space="preserve"> ADDIN REFMGR.CITE &lt;Refman&gt;&lt;Cite&gt;&lt;RecNum&gt;Y14763&lt;/RecNum&gt;&lt;IDText&gt;PLACEHOLDER (Y14763)&lt;/IDText&gt;&lt;MDL Ref_Type="Generic"&gt;&lt;Ref_Type&gt;Generic&lt;/Ref_Type&gt;&lt;Ref_ID&gt;Y14763&lt;/Ref_ID&gt;&lt;Title_Primary&gt;&lt;b&gt;PLACEHOLDER (Y14763)&lt;/b&gt;&lt;/Title_Primary&gt;&lt;Keywords&gt;placeholder&lt;/Keywords&gt;&lt;Reprint&gt;Not in File&lt;/Reprint&gt;&lt;ZZ_WorkformID&gt;33&lt;/ZZ_WorkformID&gt;&lt;/MDL&gt;&lt;/Cite&gt;&lt;/Refman&gt;</w:instrText>
      </w:r>
      <w:r w:rsidRPr="005801BC">
        <w:fldChar w:fldCharType="separate"/>
      </w:r>
      <w:r w:rsidRPr="005801BC">
        <w:rPr>
          <w:noProof/>
        </w:rPr>
        <w:t xml:space="preserve"> (19)</w:t>
      </w:r>
      <w:r w:rsidRPr="005801BC">
        <w:fldChar w:fldCharType="end"/>
      </w:r>
      <w:r w:rsidRPr="005801BC">
        <w:t xml:space="preserve">. Briefly, 400,000 cells were placed in 96-well ELISPOT plates (Millipore) </w:t>
      </w:r>
      <w:proofErr w:type="spellStart"/>
      <w:r w:rsidRPr="005801BC">
        <w:t>precoated</w:t>
      </w:r>
      <w:proofErr w:type="spellEnd"/>
      <w:r w:rsidRPr="005801BC">
        <w:t xml:space="preserve"> with anti–IFN-γ monoclonal antibody (clone M700A; </w:t>
      </w:r>
      <w:proofErr w:type="spellStart"/>
      <w:r w:rsidRPr="005801BC">
        <w:t>Thermo</w:t>
      </w:r>
      <w:proofErr w:type="spellEnd"/>
      <w:r w:rsidRPr="005801BC">
        <w:t xml:space="preserve"> Scientific,</w:t>
      </w:r>
      <w:r>
        <w:t xml:space="preserve"> Waltham, MA</w:t>
      </w:r>
      <w:r w:rsidRPr="005801BC">
        <w:t xml:space="preserve">), incubated in triplicate with CTL-CEF-Class I Peptide Pool “Plus” (Cellular Technology Ltd., Cleveland, OH), a pool of 32 peptides corresponding to major histocompatibility class 1–restricted epitopes from </w:t>
      </w:r>
      <w:r w:rsidRPr="005801BC">
        <w:rPr>
          <w:rStyle w:val="hvr"/>
        </w:rPr>
        <w:t>Epstein-Barr</w:t>
      </w:r>
      <w:r w:rsidRPr="005801BC">
        <w:t xml:space="preserve"> </w:t>
      </w:r>
      <w:r w:rsidRPr="005801BC">
        <w:rPr>
          <w:rStyle w:val="hvr"/>
        </w:rPr>
        <w:t>virus</w:t>
      </w:r>
      <w:r w:rsidRPr="005801BC">
        <w:t xml:space="preserve">, cytomegalovirus, and influenza virus (CEF-32) at optimal concentration. Cells incubated with PHA and culture </w:t>
      </w:r>
      <w:proofErr w:type="gramStart"/>
      <w:r w:rsidRPr="005801BC">
        <w:t>medium were</w:t>
      </w:r>
      <w:proofErr w:type="gramEnd"/>
      <w:r w:rsidRPr="005801BC">
        <w:t xml:space="preserve"> used as positive and negative controls, respectively. After incubation overnight, plates were washed and incubated with </w:t>
      </w:r>
      <w:proofErr w:type="spellStart"/>
      <w:r w:rsidRPr="005801BC">
        <w:t>biotinylated</w:t>
      </w:r>
      <w:proofErr w:type="spellEnd"/>
      <w:r w:rsidRPr="005801BC">
        <w:t xml:space="preserve"> anti–IFN-γ monoclonal antibody (clone M700A; </w:t>
      </w:r>
      <w:proofErr w:type="spellStart"/>
      <w:r w:rsidRPr="005801BC">
        <w:t>Thermo</w:t>
      </w:r>
      <w:proofErr w:type="spellEnd"/>
      <w:r w:rsidRPr="005801BC">
        <w:t xml:space="preserve"> Scientific) followed by streptavidin-HRP (Becton Dickinson), visualized by developing spots with 3-amino-9-ethyl-carbazole (Sigma</w:t>
      </w:r>
      <w:r>
        <w:t>-Aldrich, St. Louis, MO</w:t>
      </w:r>
      <w:r w:rsidRPr="005801BC">
        <w:t xml:space="preserve">) and hydrogen peroxide. The plates were scanned using a CTL </w:t>
      </w:r>
      <w:proofErr w:type="spellStart"/>
      <w:r w:rsidRPr="005801BC">
        <w:t>ImmunoSpot</w:t>
      </w:r>
      <w:proofErr w:type="spellEnd"/>
      <w:r w:rsidRPr="005801BC">
        <w:t xml:space="preserve"> Analyzer (Cambridge Scientific, Watertown, MA), and data were processed using </w:t>
      </w:r>
      <w:proofErr w:type="spellStart"/>
      <w:r w:rsidRPr="005801BC">
        <w:t>SpotMap</w:t>
      </w:r>
      <w:proofErr w:type="spellEnd"/>
      <w:r w:rsidRPr="005801BC">
        <w:t xml:space="preserve"> software (Cellular Technology).</w:t>
      </w:r>
      <w:r w:rsidR="00EA56FA">
        <w:rPr>
          <w:b/>
        </w:rPr>
        <w:br w:type="page"/>
      </w:r>
    </w:p>
    <w:p w:rsidR="00653AF0" w:rsidRPr="00847C80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</w:pPr>
      <w:proofErr w:type="gramStart"/>
      <w:r w:rsidRPr="00847C80">
        <w:rPr>
          <w:b/>
        </w:rPr>
        <w:lastRenderedPageBreak/>
        <w:t xml:space="preserve">Supplementary Table </w:t>
      </w:r>
      <w:r>
        <w:rPr>
          <w:b/>
        </w:rPr>
        <w:t>S</w:t>
      </w:r>
      <w:r w:rsidRPr="00847C80">
        <w:rPr>
          <w:b/>
        </w:rPr>
        <w:t>1.</w:t>
      </w:r>
      <w:proofErr w:type="gramEnd"/>
      <w:r w:rsidRPr="00847C80">
        <w:rPr>
          <w:b/>
        </w:rPr>
        <w:t xml:space="preserve"> </w:t>
      </w:r>
      <w:r w:rsidRPr="008A4223">
        <w:t xml:space="preserve">Matrix view of Part A-2 dose titration and </w:t>
      </w:r>
      <w:r>
        <w:t>PK</w:t>
      </w:r>
      <w:r w:rsidRPr="008A4223">
        <w:t xml:space="preserve"> sampling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25"/>
        <w:gridCol w:w="1209"/>
        <w:gridCol w:w="1304"/>
        <w:gridCol w:w="1209"/>
        <w:gridCol w:w="3402"/>
      </w:tblGrid>
      <w:tr w:rsidR="00653AF0" w:rsidRPr="00847C80" w:rsidTr="00F952F0">
        <w:tc>
          <w:tcPr>
            <w:tcW w:w="2448" w:type="dxa"/>
            <w:vMerge w:val="restart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/>
              </w:rPr>
            </w:pPr>
            <w:r w:rsidRPr="00847C80">
              <w:rPr>
                <w:b/>
              </w:rPr>
              <w:t xml:space="preserve">Dose </w:t>
            </w:r>
          </w:p>
        </w:tc>
        <w:tc>
          <w:tcPr>
            <w:tcW w:w="810" w:type="dxa"/>
            <w:vMerge w:val="restart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847C80">
              <w:rPr>
                <w:b/>
              </w:rPr>
              <w:t>Day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847C80">
              <w:rPr>
                <w:b/>
              </w:rPr>
              <w:t>Cohort 1</w:t>
            </w:r>
          </w:p>
        </w:tc>
        <w:tc>
          <w:tcPr>
            <w:tcW w:w="162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847C80">
              <w:rPr>
                <w:b/>
              </w:rPr>
              <w:t>Cohort 2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847C80">
              <w:rPr>
                <w:b/>
              </w:rPr>
              <w:t>Cohort 3</w:t>
            </w:r>
          </w:p>
        </w:tc>
        <w:tc>
          <w:tcPr>
            <w:tcW w:w="5418" w:type="dxa"/>
            <w:vMerge w:val="restart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PK</w:t>
            </w:r>
            <w:r w:rsidRPr="00847C80">
              <w:rPr>
                <w:b/>
              </w:rPr>
              <w:t xml:space="preserve"> sampling times</w:t>
            </w:r>
          </w:p>
        </w:tc>
      </w:tr>
      <w:tr w:rsidR="00653AF0" w:rsidRPr="00847C80" w:rsidTr="00F952F0">
        <w:tc>
          <w:tcPr>
            <w:tcW w:w="2448" w:type="dxa"/>
            <w:vMerge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/>
              </w:rPr>
            </w:pPr>
          </w:p>
        </w:tc>
        <w:tc>
          <w:tcPr>
            <w:tcW w:w="810" w:type="dxa"/>
            <w:vMerge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500" w:type="dxa"/>
            <w:gridSpan w:val="3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847C80">
              <w:rPr>
                <w:b/>
              </w:rPr>
              <w:t>Pembrolizumab dose administered, mg/kg</w:t>
            </w:r>
          </w:p>
        </w:tc>
        <w:tc>
          <w:tcPr>
            <w:tcW w:w="5418" w:type="dxa"/>
            <w:vMerge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/>
              </w:rPr>
            </w:pPr>
          </w:p>
        </w:tc>
      </w:tr>
      <w:tr w:rsidR="00653AF0" w:rsidRPr="00847C80" w:rsidTr="00F952F0">
        <w:tc>
          <w:tcPr>
            <w:tcW w:w="2448" w:type="dxa"/>
          </w:tcPr>
          <w:p w:rsidR="00653AF0" w:rsidRPr="00847C80" w:rsidRDefault="00653AF0" w:rsidP="007A34C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r w:rsidRPr="00847C80">
              <w:t xml:space="preserve">First dose, </w:t>
            </w:r>
            <w:r w:rsidR="007A34C0">
              <w:t>c</w:t>
            </w:r>
            <w:r w:rsidR="007A34C0" w:rsidRPr="00847C80">
              <w:t xml:space="preserve">ycle </w:t>
            </w:r>
            <w:r w:rsidRPr="00847C80">
              <w:t>1</w:t>
            </w:r>
          </w:p>
        </w:tc>
        <w:tc>
          <w:tcPr>
            <w:tcW w:w="81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1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0</w:t>
            </w:r>
            <w:r>
              <w:t>.</w:t>
            </w:r>
            <w:r w:rsidRPr="00847C80">
              <w:t>005</w:t>
            </w:r>
          </w:p>
        </w:tc>
        <w:tc>
          <w:tcPr>
            <w:tcW w:w="162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0</w:t>
            </w:r>
            <w:r>
              <w:t>.</w:t>
            </w:r>
            <w:r w:rsidRPr="00847C80">
              <w:t>02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0</w:t>
            </w:r>
            <w:r>
              <w:t>.</w:t>
            </w:r>
            <w:r w:rsidRPr="00847C80">
              <w:t>06</w:t>
            </w:r>
          </w:p>
        </w:tc>
        <w:tc>
          <w:tcPr>
            <w:tcW w:w="541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proofErr w:type="spellStart"/>
            <w:r>
              <w:t>Predose</w:t>
            </w:r>
            <w:proofErr w:type="spellEnd"/>
            <w:r>
              <w:t xml:space="preserve">, </w:t>
            </w:r>
            <w:proofErr w:type="spellStart"/>
            <w:r>
              <w:t>post</w:t>
            </w:r>
            <w:r w:rsidRPr="00847C80">
              <w:t>dose</w:t>
            </w:r>
            <w:proofErr w:type="spellEnd"/>
            <w:r w:rsidRPr="00847C80">
              <w:t xml:space="preserve">, 6 hours, 24 hours, 48 hours, </w:t>
            </w:r>
            <w:r w:rsidR="0038102B">
              <w:t>d</w:t>
            </w:r>
            <w:r w:rsidRPr="00847C80">
              <w:t>ay 5</w:t>
            </w:r>
          </w:p>
        </w:tc>
      </w:tr>
      <w:tr w:rsidR="00653AF0" w:rsidRPr="00847C80" w:rsidTr="00F952F0">
        <w:tc>
          <w:tcPr>
            <w:tcW w:w="2448" w:type="dxa"/>
          </w:tcPr>
          <w:p w:rsidR="00653AF0" w:rsidRPr="00847C80" w:rsidRDefault="00653AF0" w:rsidP="007A34C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r w:rsidRPr="00847C80">
              <w:t xml:space="preserve">Second dose, </w:t>
            </w:r>
            <w:r w:rsidR="007A34C0">
              <w:t>c</w:t>
            </w:r>
            <w:r w:rsidR="007A34C0" w:rsidRPr="00847C80">
              <w:t xml:space="preserve">ycle </w:t>
            </w:r>
            <w:r w:rsidRPr="00847C80">
              <w:t>2</w:t>
            </w:r>
          </w:p>
        </w:tc>
        <w:tc>
          <w:tcPr>
            <w:tcW w:w="81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8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0</w:t>
            </w:r>
            <w:r>
              <w:t>.</w:t>
            </w:r>
            <w:r w:rsidRPr="00847C80">
              <w:t>3</w:t>
            </w:r>
          </w:p>
        </w:tc>
        <w:tc>
          <w:tcPr>
            <w:tcW w:w="162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0</w:t>
            </w:r>
            <w:r>
              <w:t>.</w:t>
            </w:r>
            <w:r w:rsidRPr="00847C80">
              <w:t>3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1</w:t>
            </w:r>
            <w:r>
              <w:t>.</w:t>
            </w:r>
            <w:r w:rsidRPr="00847C80">
              <w:t>0</w:t>
            </w:r>
          </w:p>
        </w:tc>
        <w:tc>
          <w:tcPr>
            <w:tcW w:w="541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r>
              <w:t xml:space="preserve">Day 8 </w:t>
            </w:r>
            <w:proofErr w:type="spellStart"/>
            <w:r>
              <w:t>predose</w:t>
            </w:r>
            <w:proofErr w:type="spellEnd"/>
            <w:r>
              <w:t xml:space="preserve">, </w:t>
            </w:r>
            <w:r w:rsidR="0038102B">
              <w:t>d</w:t>
            </w:r>
            <w:r>
              <w:t xml:space="preserve">ay 8 </w:t>
            </w:r>
            <w:proofErr w:type="spellStart"/>
            <w:r>
              <w:t>post</w:t>
            </w:r>
            <w:r w:rsidRPr="00847C80">
              <w:t>dose</w:t>
            </w:r>
            <w:proofErr w:type="spellEnd"/>
            <w:r w:rsidRPr="00847C80">
              <w:t xml:space="preserve">, </w:t>
            </w:r>
            <w:r w:rsidR="0038102B">
              <w:t>d</w:t>
            </w:r>
            <w:r w:rsidRPr="00847C80">
              <w:t>ay 15</w:t>
            </w:r>
          </w:p>
        </w:tc>
      </w:tr>
      <w:tr w:rsidR="00653AF0" w:rsidRPr="00847C80" w:rsidTr="00F952F0">
        <w:tc>
          <w:tcPr>
            <w:tcW w:w="244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r w:rsidRPr="00847C80">
              <w:t>Cycle 2</w:t>
            </w:r>
          </w:p>
        </w:tc>
        <w:tc>
          <w:tcPr>
            <w:tcW w:w="81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22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2</w:t>
            </w:r>
            <w:r>
              <w:t>.</w:t>
            </w:r>
            <w:r w:rsidRPr="00847C80">
              <w:t>0</w:t>
            </w:r>
          </w:p>
        </w:tc>
        <w:tc>
          <w:tcPr>
            <w:tcW w:w="162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2</w:t>
            </w:r>
            <w:r>
              <w:t>.</w:t>
            </w:r>
            <w:r w:rsidRPr="00847C80">
              <w:t>0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10</w:t>
            </w:r>
          </w:p>
        </w:tc>
        <w:tc>
          <w:tcPr>
            <w:tcW w:w="541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proofErr w:type="spellStart"/>
            <w:r>
              <w:t>Predose</w:t>
            </w:r>
            <w:proofErr w:type="spellEnd"/>
            <w:r>
              <w:t xml:space="preserve">, </w:t>
            </w:r>
            <w:proofErr w:type="spellStart"/>
            <w:r>
              <w:t>post</w:t>
            </w:r>
            <w:r w:rsidRPr="00847C80">
              <w:t>dose</w:t>
            </w:r>
            <w:proofErr w:type="spellEnd"/>
            <w:r w:rsidRPr="00847C80">
              <w:t xml:space="preserve">, </w:t>
            </w:r>
            <w:r w:rsidR="0038102B">
              <w:t>d</w:t>
            </w:r>
            <w:r w:rsidRPr="00847C80">
              <w:t xml:space="preserve">ay 3, </w:t>
            </w:r>
            <w:r w:rsidR="0038102B">
              <w:t>d</w:t>
            </w:r>
            <w:r w:rsidRPr="00847C80">
              <w:t xml:space="preserve">ay 8, </w:t>
            </w:r>
            <w:r w:rsidR="0038102B">
              <w:t>d</w:t>
            </w:r>
            <w:r w:rsidRPr="00847C80">
              <w:t>ay 15</w:t>
            </w:r>
          </w:p>
        </w:tc>
      </w:tr>
      <w:tr w:rsidR="00653AF0" w:rsidRPr="00847C80" w:rsidTr="00F952F0">
        <w:tc>
          <w:tcPr>
            <w:tcW w:w="244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vertAlign w:val="superscript"/>
              </w:rPr>
            </w:pPr>
            <w:r w:rsidRPr="00847C80">
              <w:t>Cycle 3</w:t>
            </w:r>
            <w:r w:rsidRPr="00847C80">
              <w:rPr>
                <w:vertAlign w:val="superscript"/>
              </w:rPr>
              <w:t>a</w:t>
            </w:r>
          </w:p>
        </w:tc>
        <w:tc>
          <w:tcPr>
            <w:tcW w:w="81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42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2</w:t>
            </w:r>
            <w:r>
              <w:t>.</w:t>
            </w:r>
            <w:r w:rsidRPr="00847C80">
              <w:t>0</w:t>
            </w:r>
          </w:p>
        </w:tc>
        <w:tc>
          <w:tcPr>
            <w:tcW w:w="162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2</w:t>
            </w:r>
            <w:r>
              <w:t>.</w:t>
            </w:r>
            <w:r w:rsidRPr="00847C80">
              <w:t>0</w:t>
            </w:r>
          </w:p>
        </w:tc>
        <w:tc>
          <w:tcPr>
            <w:tcW w:w="1440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</w:pPr>
            <w:r w:rsidRPr="00847C80">
              <w:t>10</w:t>
            </w:r>
          </w:p>
        </w:tc>
        <w:tc>
          <w:tcPr>
            <w:tcW w:w="5418" w:type="dxa"/>
          </w:tcPr>
          <w:p w:rsidR="00653AF0" w:rsidRPr="00847C80" w:rsidRDefault="00653AF0" w:rsidP="00F952F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proofErr w:type="spellStart"/>
            <w:r>
              <w:t>Predose</w:t>
            </w:r>
            <w:proofErr w:type="spellEnd"/>
            <w:r>
              <w:t xml:space="preserve">, </w:t>
            </w:r>
            <w:proofErr w:type="spellStart"/>
            <w:r>
              <w:t>post</w:t>
            </w:r>
            <w:r w:rsidRPr="00847C80">
              <w:t>dose</w:t>
            </w:r>
            <w:proofErr w:type="spellEnd"/>
          </w:p>
        </w:tc>
      </w:tr>
    </w:tbl>
    <w:p w:rsidR="00653AF0" w:rsidRPr="00DA07B0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</w:pPr>
      <w:r>
        <w:t>Abbreviation: PK, pharmacokinetic.</w:t>
      </w:r>
    </w:p>
    <w:p w:rsidR="00653AF0" w:rsidRPr="00847C80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</w:pPr>
      <w:proofErr w:type="spellStart"/>
      <w:proofErr w:type="gramStart"/>
      <w:r w:rsidRPr="00847C80">
        <w:rPr>
          <w:vertAlign w:val="superscript"/>
        </w:rPr>
        <w:t>a</w:t>
      </w:r>
      <w:r w:rsidRPr="00847C80">
        <w:t>Doses</w:t>
      </w:r>
      <w:proofErr w:type="spellEnd"/>
      <w:proofErr w:type="gramEnd"/>
      <w:r w:rsidRPr="00847C80">
        <w:t xml:space="preserve"> after </w:t>
      </w:r>
      <w:r w:rsidR="007A34C0">
        <w:t>c</w:t>
      </w:r>
      <w:r w:rsidR="007A34C0" w:rsidRPr="00847C80">
        <w:t xml:space="preserve">ycle </w:t>
      </w:r>
      <w:r w:rsidRPr="00847C80">
        <w:t xml:space="preserve">3 were administered in the same manner as </w:t>
      </w:r>
      <w:r w:rsidR="007A34C0">
        <w:t>c</w:t>
      </w:r>
      <w:r w:rsidR="007A34C0" w:rsidRPr="00847C80">
        <w:t xml:space="preserve">ycle </w:t>
      </w:r>
      <w:r w:rsidRPr="00847C80">
        <w:t xml:space="preserve">3. </w:t>
      </w:r>
      <w:r w:rsidR="0038102B" w:rsidRPr="00847C80">
        <w:t>P</w:t>
      </w:r>
      <w:r w:rsidR="0038102B">
        <w:t>K</w:t>
      </w:r>
      <w:r w:rsidR="0038102B" w:rsidRPr="00847C80">
        <w:t xml:space="preserve"> </w:t>
      </w:r>
      <w:proofErr w:type="spellStart"/>
      <w:r w:rsidRPr="00847C80">
        <w:t>predose</w:t>
      </w:r>
      <w:proofErr w:type="spellEnd"/>
      <w:r w:rsidRPr="00847C80">
        <w:t xml:space="preserve"> and </w:t>
      </w:r>
      <w:proofErr w:type="spellStart"/>
      <w:r w:rsidRPr="00847C80">
        <w:t>postdose</w:t>
      </w:r>
      <w:proofErr w:type="spellEnd"/>
      <w:r w:rsidRPr="00847C80">
        <w:t xml:space="preserve"> samples were drawn every other cycle.</w:t>
      </w:r>
    </w:p>
    <w:p w:rsidR="00825C73" w:rsidRDefault="00825C7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5C73" w:rsidRPr="005801BC" w:rsidRDefault="00825C73" w:rsidP="00825C73">
      <w:pPr>
        <w:pStyle w:val="NoSpacing"/>
        <w:tabs>
          <w:tab w:val="right" w:pos="360"/>
          <w:tab w:val="left" w:pos="540"/>
        </w:tabs>
        <w:ind w:left="1267" w:hanging="1267"/>
      </w:pPr>
      <w:proofErr w:type="gramStart"/>
      <w:r>
        <w:rPr>
          <w:b/>
        </w:rPr>
        <w:lastRenderedPageBreak/>
        <w:t xml:space="preserve">Supplementary </w:t>
      </w:r>
      <w:r w:rsidRPr="005801BC">
        <w:rPr>
          <w:b/>
        </w:rPr>
        <w:t xml:space="preserve">Table </w:t>
      </w:r>
      <w:r>
        <w:rPr>
          <w:b/>
        </w:rPr>
        <w:t>S2</w:t>
      </w:r>
      <w:r w:rsidRPr="005801BC">
        <w:rPr>
          <w:b/>
        </w:rPr>
        <w:t>.</w:t>
      </w:r>
      <w:proofErr w:type="gramEnd"/>
      <w:r w:rsidRPr="005801BC">
        <w:rPr>
          <w:b/>
        </w:rPr>
        <w:t xml:space="preserve"> </w:t>
      </w:r>
      <w:r w:rsidRPr="005801BC">
        <w:t>Efficacy outcomes by investigator review per RECIST v1.1</w:t>
      </w:r>
    </w:p>
    <w:p w:rsidR="00825C73" w:rsidRPr="005801BC" w:rsidRDefault="00825C73" w:rsidP="00825C73">
      <w:pPr>
        <w:pStyle w:val="NoSpacing"/>
        <w:tabs>
          <w:tab w:val="right" w:pos="360"/>
          <w:tab w:val="left" w:pos="540"/>
        </w:tabs>
        <w:ind w:left="1267" w:hanging="1267"/>
        <w:rPr>
          <w:b/>
        </w:rPr>
      </w:pPr>
    </w:p>
    <w:tbl>
      <w:tblPr>
        <w:tblStyle w:val="LightShading"/>
        <w:tblW w:w="9558" w:type="dxa"/>
        <w:tblLayout w:type="fixed"/>
        <w:tblLook w:val="04A0" w:firstRow="1" w:lastRow="0" w:firstColumn="1" w:lastColumn="0" w:noHBand="0" w:noVBand="1"/>
      </w:tblPr>
      <w:tblGrid>
        <w:gridCol w:w="1278"/>
        <w:gridCol w:w="3060"/>
        <w:gridCol w:w="1620"/>
        <w:gridCol w:w="1620"/>
        <w:gridCol w:w="1980"/>
      </w:tblGrid>
      <w:tr w:rsidR="00825C73" w:rsidRPr="005801BC" w:rsidTr="00194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</w:pPr>
            <w:r w:rsidRPr="005801BC">
              <w:t>Dose</w:t>
            </w: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Tumor type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Best response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Duration of treatment, weeks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Duration of response or SD,</w:t>
            </w:r>
          </w:p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weeks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4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rPr>
                <w:b w:val="0"/>
              </w:rPr>
              <w:t>Once every 2 weeks schedule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t xml:space="preserve">1 mg/kg </w:t>
            </w:r>
          </w:p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Rectal adenocarcinoma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–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7A34C0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Breast adenocarcinoma</w:t>
            </w:r>
            <w:r>
              <w:t xml:space="preserve"> (hormone receptor</w:t>
            </w:r>
            <w:r w:rsidR="00485C8F">
              <w:t>–</w:t>
            </w:r>
            <w:r>
              <w:t>positive)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&lt;1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Carcinoid syndrome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17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19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14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16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t xml:space="preserve">3 mg/kg </w:t>
            </w: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Rectal adenocarcinoma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4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–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PR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32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801BC">
              <w:t>16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01BC">
              <w:t>Leiomyosarcoma</w:t>
            </w:r>
            <w:proofErr w:type="spellEnd"/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33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35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t xml:space="preserve">10 mg/kg </w:t>
            </w: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22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–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14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14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Pancreatic neuroendocrine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8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11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Colon adenocarcinoma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PR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28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26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Kaposi sarcoma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8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Prostate (hormone-refractory)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8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&lt;1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&lt;1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4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rPr>
                <w:b w:val="0"/>
              </w:rPr>
              <w:t>Once every 3 weeks schedule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t>2 mg/kg</w:t>
            </w: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Melanoma (retinal)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15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18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6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31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31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PR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63+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24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Peripheral nerve sheath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—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3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 xml:space="preserve">Merkel cell carcinoma 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CR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63+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801BC">
              <w:t>56+</w:t>
            </w:r>
            <w:r w:rsidRPr="005801BC">
              <w:rPr>
                <w:vertAlign w:val="superscript"/>
              </w:rPr>
              <w:t>a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  <w:r w:rsidRPr="005801BC">
              <w:rPr>
                <w:b w:val="0"/>
              </w:rPr>
              <w:t>10 mg/kg</w:t>
            </w: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Pancreatic adenocarcinoma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9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20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Prostate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—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3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NSCLC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30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28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Neuroendocrine (skin)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—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1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—</w:t>
            </w:r>
          </w:p>
        </w:tc>
      </w:tr>
      <w:tr w:rsidR="00825C73" w:rsidRPr="005801BC" w:rsidTr="0019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Melanoma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CR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1BC">
              <w:t>35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801BC">
              <w:t>28</w:t>
            </w:r>
            <w:r w:rsidRPr="005801BC">
              <w:rPr>
                <w:rFonts w:cs="Times New Roman"/>
                <w:vertAlign w:val="superscript"/>
              </w:rPr>
              <w:t>b</w:t>
            </w:r>
          </w:p>
        </w:tc>
      </w:tr>
      <w:tr w:rsidR="00825C73" w:rsidRPr="005801BC" w:rsidTr="0019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rPr>
                <w:b w:val="0"/>
              </w:rPr>
            </w:pPr>
          </w:p>
        </w:tc>
        <w:tc>
          <w:tcPr>
            <w:tcW w:w="306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Prostate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SD</w:t>
            </w:r>
          </w:p>
        </w:tc>
        <w:tc>
          <w:tcPr>
            <w:tcW w:w="162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25</w:t>
            </w:r>
          </w:p>
        </w:tc>
        <w:tc>
          <w:tcPr>
            <w:tcW w:w="1980" w:type="dxa"/>
          </w:tcPr>
          <w:p w:rsidR="00825C73" w:rsidRPr="005801BC" w:rsidRDefault="00825C73" w:rsidP="00194A85">
            <w:pPr>
              <w:pStyle w:val="NoSpacing"/>
              <w:tabs>
                <w:tab w:val="right" w:pos="360"/>
                <w:tab w:val="left" w:pos="54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1BC">
              <w:t>27</w:t>
            </w:r>
          </w:p>
        </w:tc>
      </w:tr>
    </w:tbl>
    <w:p w:rsidR="00825C73" w:rsidRPr="005801BC" w:rsidRDefault="00825C73" w:rsidP="00825C73">
      <w:pPr>
        <w:spacing w:line="480" w:lineRule="auto"/>
      </w:pPr>
      <w:r w:rsidRPr="005801BC">
        <w:t>CR, complete response; NSCLC, non</w:t>
      </w:r>
      <w:r w:rsidRPr="005801BC">
        <w:rPr>
          <w:rFonts w:cs="Times New Roman"/>
        </w:rPr>
        <w:t>‒</w:t>
      </w:r>
      <w:r w:rsidRPr="005801BC">
        <w:t>small cell lung cancer; PD, progressive disease; PR, partial response; RECIST v1.1, Response Criteria in Solid Tumors, version 1.1; SD, stable disease.</w:t>
      </w:r>
    </w:p>
    <w:p w:rsidR="00825C73" w:rsidRPr="005801BC" w:rsidRDefault="00825C73" w:rsidP="00825C73">
      <w:pPr>
        <w:pStyle w:val="NoSpacing"/>
        <w:spacing w:line="480" w:lineRule="auto"/>
      </w:pPr>
      <w:r w:rsidRPr="005801BC">
        <w:t>“+” indicates treatment and/or response were ongoing at the time of analysis cutoff date.</w:t>
      </w:r>
    </w:p>
    <w:p w:rsidR="00825C73" w:rsidRPr="005801BC" w:rsidRDefault="00825C73" w:rsidP="00825C73">
      <w:pPr>
        <w:pStyle w:val="NoSpacing"/>
        <w:spacing w:line="480" w:lineRule="auto"/>
      </w:pPr>
      <w:proofErr w:type="spellStart"/>
      <w:proofErr w:type="gramStart"/>
      <w:r w:rsidRPr="005801BC">
        <w:rPr>
          <w:vertAlign w:val="superscript"/>
        </w:rPr>
        <w:t>a</w:t>
      </w:r>
      <w:r w:rsidRPr="005801BC">
        <w:t>The</w:t>
      </w:r>
      <w:proofErr w:type="spellEnd"/>
      <w:proofErr w:type="gramEnd"/>
      <w:r w:rsidRPr="005801BC">
        <w:t xml:space="preserve"> response duration was 90+ weeks as of the most recent on-treatment </w:t>
      </w:r>
      <w:r>
        <w:t>imaging</w:t>
      </w:r>
      <w:r w:rsidRPr="005801BC">
        <w:t xml:space="preserve"> performed on June 11, 2014. </w:t>
      </w:r>
    </w:p>
    <w:p w:rsidR="00825C73" w:rsidRPr="005801BC" w:rsidRDefault="00825C73" w:rsidP="00825C73">
      <w:pPr>
        <w:pStyle w:val="NoSpacing"/>
        <w:spacing w:line="480" w:lineRule="auto"/>
      </w:pPr>
      <w:proofErr w:type="spellStart"/>
      <w:r w:rsidRPr="005801BC">
        <w:rPr>
          <w:rFonts w:cs="Times New Roman"/>
          <w:vertAlign w:val="superscript"/>
        </w:rPr>
        <w:t>b</w:t>
      </w:r>
      <w:r>
        <w:rPr>
          <w:rFonts w:eastAsia="Times New Roman" w:cs="Times New Roman"/>
          <w:color w:val="000000"/>
          <w:szCs w:val="24"/>
        </w:rPr>
        <w:t>Imaging</w:t>
      </w:r>
      <w:proofErr w:type="spellEnd"/>
      <w:r w:rsidRPr="005801BC">
        <w:rPr>
          <w:rFonts w:eastAsia="Times New Roman" w:cs="Times New Roman"/>
          <w:color w:val="000000"/>
          <w:szCs w:val="24"/>
        </w:rPr>
        <w:t xml:space="preserve"> performed approximately 6 months after </w:t>
      </w:r>
      <w:r w:rsidRPr="005801BC">
        <w:t>pembrolizumab</w:t>
      </w:r>
      <w:r w:rsidRPr="005801BC">
        <w:rPr>
          <w:rFonts w:eastAsia="Times New Roman" w:cs="Times New Roman"/>
          <w:color w:val="000000"/>
          <w:szCs w:val="24"/>
        </w:rPr>
        <w:t xml:space="preserve"> discontinuation and approximately 12 weeks before the patient died of cardiovascular disease confirmed ongoing CR </w:t>
      </w:r>
      <w:r w:rsidRPr="005801BC">
        <w:rPr>
          <w:rFonts w:eastAsia="Times New Roman" w:cs="Times New Roman"/>
          <w:color w:val="000000"/>
          <w:szCs w:val="24"/>
        </w:rPr>
        <w:lastRenderedPageBreak/>
        <w:t xml:space="preserve">(response duration of 43 weeks as of scan date, with no additional anticancer therapy after </w:t>
      </w:r>
      <w:r w:rsidRPr="005801BC">
        <w:t>pembrolizumab</w:t>
      </w:r>
      <w:r w:rsidRPr="005801BC">
        <w:rPr>
          <w:rFonts w:eastAsia="Times New Roman" w:cs="Times New Roman"/>
          <w:color w:val="000000"/>
          <w:szCs w:val="24"/>
        </w:rPr>
        <w:t xml:space="preserve"> discontinuation). </w:t>
      </w:r>
    </w:p>
    <w:p w:rsidR="00825C73" w:rsidRPr="005801BC" w:rsidRDefault="00825C73" w:rsidP="00825C73">
      <w:pPr>
        <w:spacing w:line="480" w:lineRule="auto"/>
        <w:sectPr w:rsidR="00825C73" w:rsidRPr="005801BC" w:rsidSect="005E70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AF0" w:rsidRPr="00847C80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  <w:rPr>
          <w:rFonts w:cs="Times New Roman"/>
        </w:rPr>
      </w:pPr>
      <w:proofErr w:type="gramStart"/>
      <w:r w:rsidRPr="00847C80">
        <w:rPr>
          <w:b/>
        </w:rPr>
        <w:lastRenderedPageBreak/>
        <w:t>Supplementary Figure 1.</w:t>
      </w:r>
      <w:proofErr w:type="gramEnd"/>
      <w:r w:rsidRPr="00847C80">
        <w:t xml:space="preserve"> </w:t>
      </w:r>
      <w:r w:rsidRPr="00847C80">
        <w:rPr>
          <w:rFonts w:cs="Times New Roman"/>
        </w:rPr>
        <w:t>Seventeen patients were tested with IFN-γ ELISPOT assay. Blood samples were collected at pretreatment and post-</w:t>
      </w:r>
      <w:r w:rsidRPr="00847C80">
        <w:t>pembrolizumab</w:t>
      </w:r>
      <w:r w:rsidRPr="00847C80">
        <w:rPr>
          <w:rFonts w:cs="Times New Roman"/>
        </w:rPr>
        <w:t xml:space="preserve"> treatment time points as indicated. Peri</w:t>
      </w:r>
      <w:r>
        <w:rPr>
          <w:rFonts w:cs="Times New Roman"/>
        </w:rPr>
        <w:t>p</w:t>
      </w:r>
      <w:r w:rsidRPr="00847C80">
        <w:rPr>
          <w:rFonts w:cs="Times New Roman"/>
        </w:rPr>
        <w:t xml:space="preserve">heral blood mononuclear cells were stimulated in triplicate with an MHC class I restricted viral peptide pool from </w:t>
      </w:r>
      <w:r>
        <w:rPr>
          <w:rFonts w:cs="Times New Roman"/>
        </w:rPr>
        <w:t>Epstein-Barr virus</w:t>
      </w:r>
      <w:r w:rsidRPr="00847C80">
        <w:rPr>
          <w:rFonts w:cs="Times New Roman"/>
        </w:rPr>
        <w:t xml:space="preserve">, cytomegalovirus and influenza virus (CEF-32) and tested with IFN-γ ELISPOT assay. Line indicates mean of IFN-γ spots from 400,000 mononuclear cells. </w:t>
      </w:r>
      <w:proofErr w:type="gramStart"/>
      <w:r w:rsidRPr="00847C80">
        <w:rPr>
          <w:rFonts w:cs="Times New Roman"/>
        </w:rPr>
        <w:t>C</w:t>
      </w:r>
      <w:r>
        <w:rPr>
          <w:rFonts w:cs="Times New Roman"/>
        </w:rPr>
        <w:t xml:space="preserve">, </w:t>
      </w:r>
      <w:r w:rsidRPr="00847C80">
        <w:rPr>
          <w:rFonts w:cs="Times New Roman"/>
        </w:rPr>
        <w:t>cycle; D</w:t>
      </w:r>
      <w:r>
        <w:rPr>
          <w:rFonts w:cs="Times New Roman"/>
        </w:rPr>
        <w:t xml:space="preserve">, </w:t>
      </w:r>
      <w:r w:rsidRPr="00847C80">
        <w:rPr>
          <w:rFonts w:cs="Times New Roman"/>
        </w:rPr>
        <w:t>day</w:t>
      </w:r>
      <w:r>
        <w:rPr>
          <w:rFonts w:cs="Times New Roman"/>
        </w:rPr>
        <w:t xml:space="preserve">; </w:t>
      </w:r>
      <w:r w:rsidRPr="00094E15">
        <w:rPr>
          <w:rFonts w:cs="Times New Roman"/>
        </w:rPr>
        <w:t>ELI</w:t>
      </w:r>
      <w:r>
        <w:rPr>
          <w:rFonts w:cs="Times New Roman"/>
        </w:rPr>
        <w:t xml:space="preserve">SPOT, enzyme-linked </w:t>
      </w:r>
      <w:proofErr w:type="spellStart"/>
      <w:r>
        <w:rPr>
          <w:rFonts w:cs="Times New Roman"/>
        </w:rPr>
        <w:t>immunospot</w:t>
      </w:r>
      <w:proofErr w:type="spellEnd"/>
      <w:r>
        <w:rPr>
          <w:rFonts w:cs="Times New Roman"/>
        </w:rPr>
        <w:t xml:space="preserve">; </w:t>
      </w:r>
      <w:r w:rsidRPr="00847C80">
        <w:rPr>
          <w:rFonts w:cs="Times New Roman"/>
        </w:rPr>
        <w:t>IFN-γ</w:t>
      </w:r>
      <w:r>
        <w:rPr>
          <w:rFonts w:cs="Times New Roman"/>
        </w:rPr>
        <w:t xml:space="preserve">, interferon gamma; </w:t>
      </w:r>
      <w:r w:rsidRPr="00094E15">
        <w:rPr>
          <w:rFonts w:cs="Times New Roman"/>
        </w:rPr>
        <w:t>MHC, m</w:t>
      </w:r>
      <w:r>
        <w:rPr>
          <w:rFonts w:cs="Times New Roman"/>
        </w:rPr>
        <w:t>ajor histocompatibility complex.</w:t>
      </w:r>
      <w:proofErr w:type="gramEnd"/>
    </w:p>
    <w:p w:rsidR="00653AF0" w:rsidRPr="00847C80" w:rsidRDefault="00EA56FA" w:rsidP="00653AF0">
      <w:pPr>
        <w:pStyle w:val="NoSpacing"/>
        <w:tabs>
          <w:tab w:val="right" w:pos="360"/>
          <w:tab w:val="left" w:pos="540"/>
        </w:tabs>
        <w:spacing w:line="480" w:lineRule="auto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474464" cy="428548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4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F0" w:rsidRDefault="00653AF0" w:rsidP="00653AF0">
      <w:pPr>
        <w:pStyle w:val="NoSpacing"/>
        <w:tabs>
          <w:tab w:val="right" w:pos="360"/>
          <w:tab w:val="left" w:pos="540"/>
        </w:tabs>
        <w:spacing w:line="480" w:lineRule="auto"/>
        <w:rPr>
          <w:b/>
        </w:rPr>
      </w:pPr>
    </w:p>
    <w:p w:rsidR="00653AF0" w:rsidRDefault="00653AF0" w:rsidP="00653AF0">
      <w:pPr>
        <w:tabs>
          <w:tab w:val="left" w:pos="8360"/>
        </w:tabs>
      </w:pPr>
      <w:r w:rsidRPr="00847C80">
        <w:rPr>
          <w:b/>
        </w:rPr>
        <w:fldChar w:fldCharType="begin"/>
      </w:r>
      <w:r w:rsidRPr="00847C80">
        <w:rPr>
          <w:b/>
        </w:rPr>
        <w:instrText xml:space="preserve"> ADDIN </w:instrText>
      </w:r>
      <w:r w:rsidRPr="00847C80">
        <w:rPr>
          <w:b/>
        </w:rPr>
        <w:fldChar w:fldCharType="end"/>
      </w:r>
    </w:p>
    <w:p w:rsidR="00653AF0" w:rsidRDefault="00653AF0" w:rsidP="00653AF0"/>
    <w:p w:rsidR="00F71B41" w:rsidRDefault="00F71B41"/>
    <w:sectPr w:rsidR="00F71B41" w:rsidSect="005E705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B8" w:rsidRDefault="00E84BB8">
      <w:r>
        <w:separator/>
      </w:r>
    </w:p>
  </w:endnote>
  <w:endnote w:type="continuationSeparator" w:id="0">
    <w:p w:rsidR="00E84BB8" w:rsidRDefault="00E8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6CF" w:rsidRDefault="00653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6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06CF" w:rsidRDefault="00D94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B8" w:rsidRDefault="00E84BB8">
      <w:r>
        <w:separator/>
      </w:r>
    </w:p>
  </w:footnote>
  <w:footnote w:type="continuationSeparator" w:id="0">
    <w:p w:rsidR="00E84BB8" w:rsidRDefault="00E8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C" w:rsidRDefault="00C75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0"/>
    <w:rsid w:val="00032DFE"/>
    <w:rsid w:val="00056F25"/>
    <w:rsid w:val="001F327A"/>
    <w:rsid w:val="00221D06"/>
    <w:rsid w:val="00315512"/>
    <w:rsid w:val="0038102B"/>
    <w:rsid w:val="003F1760"/>
    <w:rsid w:val="004155A6"/>
    <w:rsid w:val="00485C8F"/>
    <w:rsid w:val="00492753"/>
    <w:rsid w:val="00653AF0"/>
    <w:rsid w:val="00690274"/>
    <w:rsid w:val="006E64B6"/>
    <w:rsid w:val="006F66A3"/>
    <w:rsid w:val="007914EA"/>
    <w:rsid w:val="007A34C0"/>
    <w:rsid w:val="00825C73"/>
    <w:rsid w:val="00886F55"/>
    <w:rsid w:val="008E00F3"/>
    <w:rsid w:val="008F3E66"/>
    <w:rsid w:val="00A15371"/>
    <w:rsid w:val="00B11853"/>
    <w:rsid w:val="00C64710"/>
    <w:rsid w:val="00C750DC"/>
    <w:rsid w:val="00C7752E"/>
    <w:rsid w:val="00CE22AE"/>
    <w:rsid w:val="00D94684"/>
    <w:rsid w:val="00DD4C1F"/>
    <w:rsid w:val="00E84BB8"/>
    <w:rsid w:val="00EA56FA"/>
    <w:rsid w:val="00F71B4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53A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F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5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C73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C73"/>
    <w:rPr>
      <w:sz w:val="20"/>
      <w:szCs w:val="20"/>
    </w:rPr>
  </w:style>
  <w:style w:type="table" w:styleId="LightShading">
    <w:name w:val="Light Shading"/>
    <w:basedOn w:val="TableNormal"/>
    <w:uiPriority w:val="60"/>
    <w:rsid w:val="00825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73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73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DC"/>
    <w:rPr>
      <w:rFonts w:ascii="Times New Roman" w:hAnsi="Times New Roman"/>
      <w:sz w:val="24"/>
    </w:rPr>
  </w:style>
  <w:style w:type="character" w:customStyle="1" w:styleId="hvr">
    <w:name w:val="hvr"/>
    <w:basedOn w:val="DefaultParagraphFont"/>
    <w:rsid w:val="00B1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53A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F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5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C73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C73"/>
    <w:rPr>
      <w:sz w:val="20"/>
      <w:szCs w:val="20"/>
    </w:rPr>
  </w:style>
  <w:style w:type="table" w:styleId="LightShading">
    <w:name w:val="Light Shading"/>
    <w:basedOn w:val="TableNormal"/>
    <w:uiPriority w:val="60"/>
    <w:rsid w:val="00825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73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73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DC"/>
    <w:rPr>
      <w:rFonts w:ascii="Times New Roman" w:hAnsi="Times New Roman"/>
      <w:sz w:val="24"/>
    </w:rPr>
  </w:style>
  <w:style w:type="character" w:customStyle="1" w:styleId="hvr">
    <w:name w:val="hvr"/>
    <w:basedOn w:val="DefaultParagraphFont"/>
    <w:rsid w:val="00B1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1179</Words>
  <Characters>6725</Characters>
  <Application>Microsoft Office Word</Application>
  <DocSecurity>0</DocSecurity>
  <Lines>56</Lines>
  <Paragraphs>15</Paragraphs>
  <ScaleCrop>false</ScaleCrop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2015-04-28T12:00:00Z</dcterms:created>
  <dcterms:modified xsi:type="dcterms:W3CDTF">2015-04-28T12:01:00Z</dcterms:modified>
</cp:coreProperties>
</file>