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4173" w14:textId="4F254EE9" w:rsidR="007C0D55" w:rsidRPr="00B84797" w:rsidRDefault="007C0D55" w:rsidP="00EB3C6D">
      <w:pPr>
        <w:spacing w:line="480" w:lineRule="auto"/>
        <w:rPr>
          <w:rFonts w:ascii="Times New Roman" w:hAnsi="Times New Roman" w:cs="Times New Roman"/>
          <w:b/>
          <w:sz w:val="28"/>
          <w:szCs w:val="28"/>
        </w:rPr>
      </w:pPr>
      <w:bookmarkStart w:id="0" w:name="_GoBack"/>
      <w:bookmarkEnd w:id="0"/>
      <w:r w:rsidRPr="00B84797">
        <w:rPr>
          <w:rFonts w:ascii="Times New Roman" w:hAnsi="Times New Roman" w:cs="Times New Roman"/>
          <w:b/>
          <w:sz w:val="28"/>
          <w:szCs w:val="28"/>
        </w:rPr>
        <w:t xml:space="preserve">Supplementary </w:t>
      </w:r>
      <w:r w:rsidR="00B84797">
        <w:rPr>
          <w:rFonts w:ascii="Times New Roman" w:hAnsi="Times New Roman" w:cs="Times New Roman"/>
          <w:b/>
          <w:sz w:val="28"/>
          <w:szCs w:val="28"/>
        </w:rPr>
        <w:t xml:space="preserve">Materials and </w:t>
      </w:r>
      <w:r w:rsidRPr="00B84797">
        <w:rPr>
          <w:rFonts w:ascii="Times New Roman" w:hAnsi="Times New Roman" w:cs="Times New Roman"/>
          <w:b/>
          <w:sz w:val="28"/>
          <w:szCs w:val="28"/>
        </w:rPr>
        <w:t>Methods</w:t>
      </w:r>
    </w:p>
    <w:p w14:paraId="0F0DA9EE" w14:textId="77777777" w:rsidR="007C0D55" w:rsidRPr="00EC69EE" w:rsidRDefault="007C0D55" w:rsidP="00EB3C6D">
      <w:pPr>
        <w:spacing w:line="480" w:lineRule="auto"/>
        <w:rPr>
          <w:rFonts w:ascii="Times New Roman" w:hAnsi="Times New Roman" w:cs="Times New Roman"/>
          <w:b/>
        </w:rPr>
      </w:pPr>
    </w:p>
    <w:p w14:paraId="1A3CB813" w14:textId="77777777" w:rsidR="007C0D55" w:rsidRPr="004C5773" w:rsidRDefault="007C0D55" w:rsidP="00EB3C6D">
      <w:pPr>
        <w:spacing w:line="480" w:lineRule="auto"/>
        <w:outlineLvl w:val="0"/>
        <w:rPr>
          <w:rFonts w:ascii="Times New Roman" w:hAnsi="Times New Roman" w:cs="Times New Roman"/>
          <w:b/>
          <w:i/>
        </w:rPr>
      </w:pPr>
      <w:r w:rsidRPr="004C5773">
        <w:rPr>
          <w:rFonts w:ascii="Times New Roman" w:hAnsi="Times New Roman" w:cs="Times New Roman"/>
          <w:b/>
          <w:i/>
        </w:rPr>
        <w:t>Hematoxylin Eosin staining, and immunohistochemistry</w:t>
      </w:r>
    </w:p>
    <w:p w14:paraId="266E759D" w14:textId="77777777" w:rsidR="007C0D55" w:rsidRPr="004C5773" w:rsidRDefault="007C0D55" w:rsidP="00EB3C6D">
      <w:pPr>
        <w:spacing w:before="1" w:after="1" w:line="480" w:lineRule="auto"/>
        <w:rPr>
          <w:rFonts w:ascii="Times New Roman" w:hAnsi="Times New Roman" w:cs="Times New Roman"/>
          <w:color w:val="1A1A1A"/>
        </w:rPr>
      </w:pPr>
      <w:r w:rsidRPr="00963075">
        <w:rPr>
          <w:rFonts w:ascii="Times New Roman" w:hAnsi="Times New Roman" w:cs="Times New Roman"/>
          <w:color w:val="1A1A1A"/>
        </w:rPr>
        <w:t>For hematoxylin and eosin staining, teratom</w:t>
      </w:r>
      <w:r w:rsidRPr="004C5773">
        <w:rPr>
          <w:rFonts w:ascii="Times New Roman" w:hAnsi="Times New Roman" w:cs="Times New Roman"/>
          <w:color w:val="1A1A1A"/>
        </w:rPr>
        <w:t>a tissue sections were depara</w:t>
      </w:r>
      <w:r w:rsidRPr="00582A85">
        <w:rPr>
          <w:rFonts w:ascii="Times New Roman" w:hAnsi="Times New Roman" w:cs="Times New Roman"/>
          <w:color w:val="1A1A1A"/>
        </w:rPr>
        <w:t>ffinized with</w:t>
      </w:r>
      <w:r w:rsidRPr="00963075">
        <w:rPr>
          <w:rFonts w:ascii="Times New Roman" w:hAnsi="Times New Roman" w:cs="Times New Roman"/>
          <w:color w:val="1A1A1A"/>
        </w:rPr>
        <w:t xml:space="preserve"> two 10</w:t>
      </w:r>
      <w:r w:rsidRPr="004C5773">
        <w:rPr>
          <w:rFonts w:ascii="Times New Roman" w:hAnsi="Times New Roman" w:cs="Times New Roman"/>
          <w:color w:val="1A1A1A"/>
        </w:rPr>
        <w:t xml:space="preserve"> </w:t>
      </w:r>
      <w:r w:rsidRPr="00963075">
        <w:rPr>
          <w:rFonts w:ascii="Times New Roman" w:hAnsi="Times New Roman" w:cs="Times New Roman"/>
          <w:color w:val="1A1A1A"/>
        </w:rPr>
        <w:t>min washes with xylene, and were step-wise rehydrated in alcohol. Sections w</w:t>
      </w:r>
      <w:r w:rsidRPr="004C5773">
        <w:rPr>
          <w:rFonts w:ascii="Times New Roman" w:hAnsi="Times New Roman" w:cs="Times New Roman"/>
          <w:color w:val="1A1A1A"/>
        </w:rPr>
        <w:t>ere washed briefly in d</w:t>
      </w:r>
      <w:r w:rsidRPr="00582A85">
        <w:rPr>
          <w:rFonts w:ascii="Times New Roman" w:hAnsi="Times New Roman" w:cs="Times New Roman"/>
          <w:color w:val="1A1A1A"/>
        </w:rPr>
        <w:t xml:space="preserve">H2O, </w:t>
      </w:r>
      <w:r w:rsidRPr="00963075">
        <w:rPr>
          <w:rFonts w:ascii="Times New Roman" w:hAnsi="Times New Roman" w:cs="Times New Roman"/>
          <w:color w:val="1A1A1A"/>
        </w:rPr>
        <w:t>then stained in Harris hematoxylin solution for 1</w:t>
      </w:r>
      <w:r w:rsidRPr="004C5773">
        <w:rPr>
          <w:rFonts w:ascii="Times New Roman" w:hAnsi="Times New Roman" w:cs="Times New Roman"/>
          <w:color w:val="1A1A1A"/>
        </w:rPr>
        <w:t xml:space="preserve"> </w:t>
      </w:r>
      <w:r w:rsidRPr="00963075">
        <w:rPr>
          <w:rFonts w:ascii="Times New Roman" w:hAnsi="Times New Roman" w:cs="Times New Roman"/>
          <w:color w:val="1A1A1A"/>
        </w:rPr>
        <w:t>min</w:t>
      </w:r>
      <w:r w:rsidRPr="00582A85">
        <w:rPr>
          <w:rFonts w:ascii="Times New Roman" w:hAnsi="Times New Roman" w:cs="Times New Roman"/>
          <w:color w:val="1A1A1A"/>
        </w:rPr>
        <w:t>, and</w:t>
      </w:r>
      <w:r w:rsidRPr="00440B76">
        <w:rPr>
          <w:rFonts w:ascii="Times New Roman" w:hAnsi="Times New Roman" w:cs="Times New Roman"/>
          <w:color w:val="1A1A1A"/>
        </w:rPr>
        <w:t xml:space="preserve"> washed with H2O</w:t>
      </w:r>
      <w:r w:rsidRPr="00963075">
        <w:rPr>
          <w:rFonts w:ascii="Times New Roman" w:hAnsi="Times New Roman" w:cs="Times New Roman"/>
          <w:color w:val="1A1A1A"/>
        </w:rPr>
        <w:t xml:space="preserve"> for 5</w:t>
      </w:r>
      <w:r w:rsidRPr="004C5773">
        <w:rPr>
          <w:rFonts w:ascii="Times New Roman" w:hAnsi="Times New Roman" w:cs="Times New Roman"/>
          <w:color w:val="1A1A1A"/>
        </w:rPr>
        <w:t xml:space="preserve"> </w:t>
      </w:r>
      <w:r w:rsidRPr="00963075">
        <w:rPr>
          <w:rFonts w:ascii="Times New Roman" w:hAnsi="Times New Roman" w:cs="Times New Roman"/>
          <w:color w:val="1A1A1A"/>
        </w:rPr>
        <w:t>min. Slides were then immersed in 0.1% acid alcohol for 10s followed by a 1</w:t>
      </w:r>
      <w:r w:rsidRPr="004C5773">
        <w:rPr>
          <w:rFonts w:ascii="Times New Roman" w:hAnsi="Times New Roman" w:cs="Times New Roman"/>
          <w:color w:val="1A1A1A"/>
        </w:rPr>
        <w:t xml:space="preserve"> </w:t>
      </w:r>
      <w:r w:rsidRPr="00963075">
        <w:rPr>
          <w:rFonts w:ascii="Times New Roman" w:hAnsi="Times New Roman" w:cs="Times New Roman"/>
          <w:color w:val="1A1A1A"/>
        </w:rPr>
        <w:t>min</w:t>
      </w:r>
      <w:r w:rsidRPr="00582A85">
        <w:rPr>
          <w:rFonts w:ascii="Times New Roman" w:hAnsi="Times New Roman" w:cs="Times New Roman"/>
          <w:color w:val="1A1A1A"/>
        </w:rPr>
        <w:t xml:space="preserve"> wash under tap water. S</w:t>
      </w:r>
      <w:r w:rsidRPr="00963075">
        <w:rPr>
          <w:rFonts w:ascii="Times New Roman" w:hAnsi="Times New Roman" w:cs="Times New Roman"/>
          <w:color w:val="1A1A1A"/>
        </w:rPr>
        <w:t xml:space="preserve">ections were then immersed in 0.2% ammonia water for 10s intervals until desired </w:t>
      </w:r>
      <w:r w:rsidRPr="004C5773">
        <w:rPr>
          <w:rFonts w:ascii="Times New Roman" w:hAnsi="Times New Roman" w:cs="Times New Roman"/>
          <w:color w:val="1A1A1A"/>
        </w:rPr>
        <w:t xml:space="preserve">level of </w:t>
      </w:r>
      <w:r w:rsidRPr="00582A85">
        <w:rPr>
          <w:rFonts w:ascii="Times New Roman" w:hAnsi="Times New Roman" w:cs="Times New Roman"/>
          <w:color w:val="1A1A1A"/>
        </w:rPr>
        <w:t>blue stain</w:t>
      </w:r>
      <w:r w:rsidRPr="00963075">
        <w:rPr>
          <w:rFonts w:ascii="Times New Roman" w:hAnsi="Times New Roman" w:cs="Times New Roman"/>
          <w:color w:val="1A1A1A"/>
        </w:rPr>
        <w:t xml:space="preserve"> was reached. Sections were then washed </w:t>
      </w:r>
      <w:r w:rsidRPr="00B84B94">
        <w:rPr>
          <w:rFonts w:ascii="Times New Roman" w:hAnsi="Times New Roman" w:cs="Times New Roman"/>
          <w:color w:val="1A1A1A"/>
        </w:rPr>
        <w:t>with H2O</w:t>
      </w:r>
      <w:r w:rsidRPr="00963075">
        <w:rPr>
          <w:rFonts w:ascii="Times New Roman" w:hAnsi="Times New Roman" w:cs="Times New Roman"/>
          <w:color w:val="1A1A1A"/>
        </w:rPr>
        <w:t xml:space="preserve"> for 5 min, followed by a brief wash in 95% alcohol. Tissue sections were then counterstained with eosin Y solution for 2</w:t>
      </w:r>
      <w:r w:rsidRPr="004C5773">
        <w:rPr>
          <w:rFonts w:ascii="Times New Roman" w:hAnsi="Times New Roman" w:cs="Times New Roman"/>
          <w:color w:val="1A1A1A"/>
        </w:rPr>
        <w:t xml:space="preserve"> </w:t>
      </w:r>
      <w:r w:rsidRPr="00963075">
        <w:rPr>
          <w:rFonts w:ascii="Times New Roman" w:hAnsi="Times New Roman" w:cs="Times New Roman"/>
          <w:color w:val="1A1A1A"/>
        </w:rPr>
        <w:t>min, followed by step-wise dehydration and clearing in ethanol and xylene, respectively. Slides were mounted with Permount mounting medium</w:t>
      </w:r>
      <w:r w:rsidRPr="004C5773">
        <w:rPr>
          <w:rFonts w:ascii="Times New Roman" w:hAnsi="Times New Roman" w:cs="Times New Roman"/>
          <w:color w:val="1A1A1A"/>
        </w:rPr>
        <w:t xml:space="preserve"> (Fischer Scientific SP15-100).</w:t>
      </w:r>
      <w:r w:rsidRPr="00963075">
        <w:rPr>
          <w:rFonts w:ascii="Times New Roman" w:hAnsi="Times New Roman" w:cs="Times New Roman"/>
          <w:color w:val="1A1A1A"/>
        </w:rPr>
        <w:t> </w:t>
      </w:r>
    </w:p>
    <w:p w14:paraId="76A2D12A" w14:textId="77777777" w:rsidR="007C0D55" w:rsidRPr="001F7362" w:rsidRDefault="007C0D55" w:rsidP="00EB3C6D">
      <w:pPr>
        <w:spacing w:before="1" w:after="1" w:line="480" w:lineRule="auto"/>
        <w:rPr>
          <w:rFonts w:ascii="Times New Roman" w:hAnsi="Times New Roman" w:cs="Times New Roman"/>
          <w:color w:val="1A1A1A"/>
        </w:rPr>
      </w:pPr>
    </w:p>
    <w:p w14:paraId="5F3F1CE3" w14:textId="41968B0A" w:rsidR="007C0D55" w:rsidRPr="004C5773" w:rsidRDefault="007C0D55" w:rsidP="00EB3C6D">
      <w:pPr>
        <w:spacing w:before="1" w:after="1" w:line="480" w:lineRule="auto"/>
        <w:rPr>
          <w:rFonts w:ascii="Times New Roman" w:hAnsi="Times New Roman" w:cs="Times New Roman"/>
        </w:rPr>
      </w:pPr>
      <w:r w:rsidRPr="001B5417">
        <w:rPr>
          <w:rFonts w:ascii="Times New Roman" w:hAnsi="Times New Roman" w:cs="Times New Roman"/>
        </w:rPr>
        <w:t>For tumor immunohistochemistry, slides were deparaffinized, treated with EDTA and incubated in anti-HMB45 antibody</w:t>
      </w:r>
      <w:r w:rsidRPr="000B32D9">
        <w:rPr>
          <w:rFonts w:ascii="Times New Roman" w:hAnsi="Times New Roman" w:cs="Times New Roman"/>
        </w:rPr>
        <w:t xml:space="preserve"> (Abcam, #787)</w:t>
      </w:r>
      <w:r w:rsidR="00E4199B">
        <w:rPr>
          <w:rFonts w:ascii="Times New Roman" w:hAnsi="Times New Roman" w:cs="Times New Roman"/>
        </w:rPr>
        <w:t>, to detect gp100,</w:t>
      </w:r>
      <w:r w:rsidRPr="000B32D9">
        <w:rPr>
          <w:rFonts w:ascii="Times New Roman" w:hAnsi="Times New Roman" w:cs="Times New Roman"/>
        </w:rPr>
        <w:t xml:space="preserve"> </w:t>
      </w:r>
      <w:r w:rsidRPr="00DA6842">
        <w:rPr>
          <w:rFonts w:ascii="Times New Roman" w:hAnsi="Times New Roman" w:cs="Times New Roman"/>
        </w:rPr>
        <w:t>at a dilution of 1:50 at 37</w:t>
      </w:r>
      <w:r w:rsidRPr="00DA6842">
        <w:rPr>
          <w:rFonts w:ascii="Times New Roman" w:hAnsi="Times New Roman" w:cs="Times New Roman"/>
          <w:vertAlign w:val="superscript"/>
        </w:rPr>
        <w:t>o</w:t>
      </w:r>
      <w:r w:rsidRPr="00DA6842">
        <w:rPr>
          <w:rFonts w:ascii="Times New Roman" w:hAnsi="Times New Roman" w:cs="Times New Roman"/>
        </w:rPr>
        <w:t xml:space="preserve">C for 15 min. </w:t>
      </w:r>
      <w:r w:rsidRPr="00963075">
        <w:rPr>
          <w:rFonts w:ascii="Times New Roman" w:hAnsi="Times New Roman" w:cs="Times New Roman"/>
          <w:color w:val="1A1A1A"/>
        </w:rPr>
        <w:t>For SMC immunohistochemistry, cells were seeded to confluency on Lab-Tek chamber slides (ThermoFisher) and fixed with 2% formalin in PBS for 20 min. Cells were then washed three times and permeabilized using 0.3% Triton X-100 in PBS for 10 min. After washing twice, the cells were incubated in anti-HMB45 at a dilution of 1:25 for 16 h. Following incubation with anti-HMB45 primary antibodies, all slides (tumor and SMC) were then incubated in HRP-conjugated anti-rabbit secondary antibodies (Roche) for 15 min and counterstained using hematoxylin. All slides were stained and scanned using the VENTANA Benchmark Ultra automated slide staining system (Roche).</w:t>
      </w:r>
    </w:p>
    <w:p w14:paraId="13440835" w14:textId="77777777" w:rsidR="007C0D55" w:rsidRPr="00582A85" w:rsidRDefault="007C0D55" w:rsidP="00EB3C6D">
      <w:pPr>
        <w:spacing w:before="1" w:after="1" w:line="480" w:lineRule="auto"/>
        <w:rPr>
          <w:rFonts w:ascii="Times New Roman" w:hAnsi="Times New Roman" w:cs="Times New Roman"/>
        </w:rPr>
      </w:pPr>
    </w:p>
    <w:p w14:paraId="33FBA7A1" w14:textId="77777777" w:rsidR="007C0D55" w:rsidRPr="00621091" w:rsidRDefault="007C0D55" w:rsidP="00EB3C6D">
      <w:pPr>
        <w:spacing w:line="480" w:lineRule="auto"/>
        <w:outlineLvl w:val="0"/>
        <w:rPr>
          <w:rFonts w:ascii="Times New Roman" w:hAnsi="Times New Roman" w:cs="Times New Roman"/>
          <w:b/>
          <w:i/>
        </w:rPr>
      </w:pPr>
      <w:r w:rsidRPr="001F7362">
        <w:rPr>
          <w:rFonts w:ascii="Times New Roman" w:hAnsi="Times New Roman" w:cs="Times New Roman"/>
          <w:b/>
          <w:i/>
        </w:rPr>
        <w:t>Cell staining, imaging</w:t>
      </w:r>
      <w:r w:rsidRPr="00621091">
        <w:rPr>
          <w:rFonts w:ascii="Times New Roman" w:hAnsi="Times New Roman" w:cs="Times New Roman"/>
          <w:b/>
          <w:i/>
        </w:rPr>
        <w:t>, and high content imaging quantification</w:t>
      </w:r>
    </w:p>
    <w:p w14:paraId="585AA52D" w14:textId="77777777" w:rsidR="007C0D55" w:rsidRDefault="007C0D55" w:rsidP="00EB3C6D">
      <w:pPr>
        <w:spacing w:before="1" w:after="1" w:line="480" w:lineRule="auto"/>
        <w:rPr>
          <w:rFonts w:ascii="Times New Roman" w:hAnsi="Times New Roman" w:cs="Times New Roman"/>
        </w:rPr>
      </w:pPr>
      <w:r w:rsidRPr="006B60A9">
        <w:rPr>
          <w:rFonts w:ascii="Times New Roman" w:hAnsi="Times New Roman" w:cs="Times New Roman"/>
        </w:rPr>
        <w:t>Alkaline phosphatase staining was performed using Burstone’s staining protocol. The cells were fixed in 4% formaldehyde for 15 min, and were stained with</w:t>
      </w:r>
      <w:r w:rsidRPr="00EF0948">
        <w:rPr>
          <w:rFonts w:ascii="Times New Roman" w:hAnsi="Times New Roman" w:cs="Times New Roman"/>
        </w:rPr>
        <w:t xml:space="preserve"> </w:t>
      </w:r>
      <w:r>
        <w:rPr>
          <w:rFonts w:ascii="Times New Roman" w:hAnsi="Times New Roman" w:cs="Times New Roman"/>
        </w:rPr>
        <w:t>a</w:t>
      </w:r>
      <w:r w:rsidRPr="00EF0948">
        <w:rPr>
          <w:rFonts w:ascii="Times New Roman" w:hAnsi="Times New Roman" w:cs="Times New Roman"/>
        </w:rPr>
        <w:t xml:space="preserve"> mixture of Naphthol AS-MX-PO</w:t>
      </w:r>
      <w:r w:rsidRPr="00EF0948">
        <w:rPr>
          <w:rFonts w:ascii="Times New Roman" w:hAnsi="Times New Roman" w:cs="Times New Roman"/>
          <w:vertAlign w:val="subscript"/>
        </w:rPr>
        <w:t xml:space="preserve">4 </w:t>
      </w:r>
      <w:r w:rsidRPr="00EF0948">
        <w:rPr>
          <w:rFonts w:ascii="Times New Roman" w:hAnsi="Times New Roman" w:cs="Times New Roman"/>
        </w:rPr>
        <w:t>(Sigma), N, N dimethylformamide (Fisher Scientific, Fair Lawn, New Jersey, USA), Tris HC</w:t>
      </w:r>
      <w:r>
        <w:rPr>
          <w:rFonts w:ascii="Times New Roman" w:hAnsi="Times New Roman" w:cs="Times New Roman"/>
        </w:rPr>
        <w:t>l</w:t>
      </w:r>
      <w:r w:rsidRPr="00EF0948">
        <w:rPr>
          <w:rFonts w:ascii="Times New Roman" w:hAnsi="Times New Roman" w:cs="Times New Roman"/>
        </w:rPr>
        <w:t xml:space="preserve"> (Sigma), and Red violet LB salt (Sigma) for 45</w:t>
      </w:r>
      <w:r>
        <w:rPr>
          <w:rFonts w:ascii="Times New Roman" w:hAnsi="Times New Roman" w:cs="Times New Roman"/>
        </w:rPr>
        <w:t xml:space="preserve"> </w:t>
      </w:r>
      <w:r w:rsidRPr="00EF0948">
        <w:rPr>
          <w:rFonts w:ascii="Times New Roman" w:hAnsi="Times New Roman" w:cs="Times New Roman"/>
        </w:rPr>
        <w:t>min. For immunofluorescence staining, cells were fixed in 4% formaldehyde in PBS for 20</w:t>
      </w:r>
      <w:r>
        <w:rPr>
          <w:rFonts w:ascii="Times New Roman" w:hAnsi="Times New Roman" w:cs="Times New Roman"/>
        </w:rPr>
        <w:t xml:space="preserve"> </w:t>
      </w:r>
      <w:r w:rsidRPr="00EF0948">
        <w:rPr>
          <w:rFonts w:ascii="Times New Roman" w:hAnsi="Times New Roman" w:cs="Times New Roman"/>
        </w:rPr>
        <w:t>min, permeabilized by 0.1% Triton X-100 (Sigma) for 10</w:t>
      </w:r>
      <w:r>
        <w:rPr>
          <w:rFonts w:ascii="Times New Roman" w:hAnsi="Times New Roman" w:cs="Times New Roman"/>
        </w:rPr>
        <w:t xml:space="preserve"> </w:t>
      </w:r>
      <w:r w:rsidRPr="00EF0948">
        <w:rPr>
          <w:rFonts w:ascii="Times New Roman" w:hAnsi="Times New Roman" w:cs="Times New Roman"/>
        </w:rPr>
        <w:t>min at room temperature and blocked with 10% goat serum</w:t>
      </w:r>
      <w:r>
        <w:rPr>
          <w:rFonts w:ascii="Times New Roman" w:hAnsi="Times New Roman" w:cs="Times New Roman"/>
        </w:rPr>
        <w:t xml:space="preserve"> or 2% BSA</w:t>
      </w:r>
      <w:r w:rsidRPr="00EF0948">
        <w:rPr>
          <w:rFonts w:ascii="Times New Roman" w:hAnsi="Times New Roman" w:cs="Times New Roman"/>
        </w:rPr>
        <w:t xml:space="preserve"> for 30</w:t>
      </w:r>
      <w:r>
        <w:rPr>
          <w:rFonts w:ascii="Times New Roman" w:hAnsi="Times New Roman" w:cs="Times New Roman"/>
        </w:rPr>
        <w:t xml:space="preserve"> </w:t>
      </w:r>
      <w:r w:rsidRPr="00EF0948">
        <w:rPr>
          <w:rFonts w:ascii="Times New Roman" w:hAnsi="Times New Roman" w:cs="Times New Roman"/>
        </w:rPr>
        <w:t>min. Subsequently, the cells were incubated with the primary antibodies overnight at 4°C. Primary antibodies used include: SSEA4 (1:500, EMD Millipore, MAB4304), TRA-1-60 (EMD Millipore, MAB4360)</w:t>
      </w:r>
      <w:r w:rsidRPr="00EF0948">
        <w:rPr>
          <w:rFonts w:ascii="Times New Roman" w:hAnsi="Times New Roman" w:cs="Times New Roman"/>
          <w:lang w:eastAsia="zh-CN"/>
        </w:rPr>
        <w:t xml:space="preserve">, </w:t>
      </w:r>
      <w:r w:rsidRPr="00EF0948">
        <w:rPr>
          <w:rFonts w:ascii="Times New Roman" w:hAnsi="Times New Roman" w:cs="Times New Roman"/>
        </w:rPr>
        <w:t>α-SMOOTH MUSCLE ACTIN (SMA, 1:100, Dako</w:t>
      </w:r>
      <w:r>
        <w:rPr>
          <w:rFonts w:ascii="Times New Roman" w:hAnsi="Times New Roman" w:cs="Times New Roman"/>
        </w:rPr>
        <w:t xml:space="preserve"> </w:t>
      </w:r>
      <w:r w:rsidRPr="00EF0948">
        <w:rPr>
          <w:rFonts w:ascii="Times New Roman" w:hAnsi="Times New Roman" w:cs="Times New Roman"/>
        </w:rPr>
        <w:t xml:space="preserve">Cytomation, Glostrup, Denmark, #M0851), βIII-TUBULIN (1:400, Sigma, #T8660), </w:t>
      </w:r>
      <w:r w:rsidRPr="00EF0948">
        <w:rPr>
          <w:rFonts w:ascii="Times New Roman" w:hAnsi="Times New Roman" w:cs="Times New Roman"/>
          <w:lang w:eastAsia="zh-CN"/>
        </w:rPr>
        <w:t>GATA</w:t>
      </w:r>
      <w:r w:rsidRPr="00EF0948">
        <w:rPr>
          <w:rFonts w:ascii="Times New Roman" w:hAnsi="Times New Roman" w:cs="Times New Roman"/>
        </w:rPr>
        <w:t xml:space="preserve">4 (1:300, Covance, #PRB-278P), Calponin </w:t>
      </w:r>
      <w:r>
        <w:rPr>
          <w:rFonts w:ascii="Times New Roman" w:hAnsi="Times New Roman" w:cs="Times New Roman"/>
        </w:rPr>
        <w:t>(Cedarlane, #M3556)</w:t>
      </w:r>
      <w:r w:rsidRPr="00EF0948">
        <w:rPr>
          <w:rFonts w:ascii="Times New Roman" w:hAnsi="Times New Roman" w:cs="Times New Roman"/>
        </w:rPr>
        <w:t>, TSC2</w:t>
      </w:r>
      <w:r>
        <w:rPr>
          <w:rFonts w:ascii="Times New Roman" w:hAnsi="Times New Roman" w:cs="Times New Roman"/>
        </w:rPr>
        <w:t xml:space="preserve"> (Cell Signaling, #4308)</w:t>
      </w:r>
      <w:r w:rsidRPr="00EF0948">
        <w:rPr>
          <w:rFonts w:ascii="Times New Roman" w:hAnsi="Times New Roman" w:cs="Times New Roman"/>
        </w:rPr>
        <w:t>, GD3</w:t>
      </w:r>
      <w:r>
        <w:rPr>
          <w:rFonts w:ascii="Times New Roman" w:hAnsi="Times New Roman" w:cs="Times New Roman"/>
        </w:rPr>
        <w:t xml:space="preserve"> (Mel-1; Covance, #SIG-38110), </w:t>
      </w:r>
      <w:r w:rsidRPr="009C55FA">
        <w:rPr>
          <w:rFonts w:ascii="Times New Roman" w:hAnsi="Times New Roman" w:cs="Times New Roman"/>
        </w:rPr>
        <w:t>ER-a (1:200, Thermo Scientific, MA3-310), PR (1:100, Santa Cruz, sc-166169) and Melanoma gp100 (HMB45</w:t>
      </w:r>
      <w:r>
        <w:rPr>
          <w:rFonts w:ascii="Times New Roman" w:hAnsi="Times New Roman" w:cs="Times New Roman"/>
        </w:rPr>
        <w:t xml:space="preserve">; </w:t>
      </w:r>
      <w:r w:rsidRPr="009C55FA">
        <w:rPr>
          <w:rFonts w:ascii="Times New Roman" w:hAnsi="Times New Roman" w:cs="Times New Roman"/>
        </w:rPr>
        <w:t xml:space="preserve">1:100, Abcam, ab137062). </w:t>
      </w:r>
      <w:r w:rsidRPr="00EF0948">
        <w:rPr>
          <w:rFonts w:ascii="Times New Roman" w:hAnsi="Times New Roman" w:cs="Times New Roman"/>
        </w:rPr>
        <w:t>Secondary antibodies used were conjugated with either Alexa 488 or Alexa 555 (</w:t>
      </w:r>
      <w:r>
        <w:rPr>
          <w:rFonts w:ascii="Times New Roman" w:hAnsi="Times New Roman" w:cs="Times New Roman"/>
        </w:rPr>
        <w:t>Typically 1:1000, goat-anti-mouse (A11001, A21424) and goat-anti-rabbit [A11034, A21429]</w:t>
      </w:r>
      <w:r w:rsidRPr="00EF0948">
        <w:rPr>
          <w:rFonts w:ascii="Times New Roman" w:hAnsi="Times New Roman" w:cs="Times New Roman"/>
        </w:rPr>
        <w:t>)</w:t>
      </w:r>
      <w:r>
        <w:rPr>
          <w:rFonts w:ascii="Times New Roman" w:hAnsi="Times New Roman" w:cs="Times New Roman"/>
        </w:rPr>
        <w:t xml:space="preserve">, </w:t>
      </w:r>
      <w:r w:rsidRPr="00EF0948">
        <w:rPr>
          <w:rFonts w:ascii="Times New Roman" w:hAnsi="Times New Roman" w:cs="Times New Roman"/>
        </w:rPr>
        <w:t>which were incubated with the cells for 1</w:t>
      </w:r>
      <w:r>
        <w:rPr>
          <w:rFonts w:ascii="Times New Roman" w:hAnsi="Times New Roman" w:cs="Times New Roman"/>
        </w:rPr>
        <w:t xml:space="preserve"> </w:t>
      </w:r>
      <w:r w:rsidRPr="00EF0948">
        <w:rPr>
          <w:rFonts w:ascii="Times New Roman" w:hAnsi="Times New Roman" w:cs="Times New Roman"/>
        </w:rPr>
        <w:t xml:space="preserve">hr at room temperature in the dark. </w:t>
      </w:r>
    </w:p>
    <w:p w14:paraId="287F9973" w14:textId="77777777" w:rsidR="007C0D55" w:rsidRDefault="007C0D55" w:rsidP="00EB3C6D">
      <w:pPr>
        <w:spacing w:before="1" w:after="1" w:line="480" w:lineRule="auto"/>
        <w:rPr>
          <w:rFonts w:ascii="Times New Roman" w:hAnsi="Times New Roman" w:cs="Times New Roman"/>
        </w:rPr>
      </w:pPr>
    </w:p>
    <w:p w14:paraId="422E8C0C" w14:textId="77777777" w:rsidR="007C0D55" w:rsidRDefault="007C0D55" w:rsidP="00EB3C6D">
      <w:pPr>
        <w:spacing w:before="1" w:after="1" w:line="480" w:lineRule="auto"/>
        <w:rPr>
          <w:rFonts w:ascii="Times New Roman" w:hAnsi="Times New Roman" w:cs="Times New Roman"/>
        </w:rPr>
      </w:pPr>
      <w:r>
        <w:rPr>
          <w:rFonts w:ascii="Times New Roman" w:hAnsi="Times New Roman" w:cs="Times New Roman"/>
        </w:rPr>
        <w:t>Images</w:t>
      </w:r>
      <w:r w:rsidRPr="00EF0948">
        <w:rPr>
          <w:rFonts w:ascii="Times New Roman" w:hAnsi="Times New Roman" w:cs="Times New Roman"/>
        </w:rPr>
        <w:t xml:space="preserve"> were</w:t>
      </w:r>
      <w:r>
        <w:rPr>
          <w:rFonts w:ascii="Times New Roman" w:hAnsi="Times New Roman" w:cs="Times New Roman"/>
        </w:rPr>
        <w:t xml:space="preserve"> captured </w:t>
      </w:r>
      <w:r w:rsidRPr="00EF0948">
        <w:rPr>
          <w:rFonts w:ascii="Times New Roman" w:hAnsi="Times New Roman" w:cs="Times New Roman"/>
        </w:rPr>
        <w:t>on a Zeiss Fluorescence microscope</w:t>
      </w:r>
      <w:r>
        <w:rPr>
          <w:rFonts w:ascii="Times New Roman" w:hAnsi="Times New Roman" w:cs="Times New Roman"/>
        </w:rPr>
        <w:t xml:space="preserve"> or on a Thermo Scientific ArrayScan VTI HCS (High Content Screening) Reader. Quantification of immunofluorescence staining was performed using the HCS Studio software (version 6.5.0).</w:t>
      </w:r>
    </w:p>
    <w:p w14:paraId="0EBF75D7" w14:textId="77777777" w:rsidR="007C0D55" w:rsidRDefault="007C0D55" w:rsidP="00EB3C6D">
      <w:pPr>
        <w:spacing w:before="1" w:after="1" w:line="480" w:lineRule="auto"/>
        <w:rPr>
          <w:rFonts w:ascii="Times New Roman" w:hAnsi="Times New Roman" w:cs="Times New Roman"/>
        </w:rPr>
      </w:pPr>
    </w:p>
    <w:p w14:paraId="62186589" w14:textId="77777777" w:rsidR="007C0D55" w:rsidRDefault="007C0D55" w:rsidP="00EB3C6D">
      <w:pPr>
        <w:spacing w:before="1" w:after="1" w:line="480" w:lineRule="auto"/>
        <w:rPr>
          <w:rFonts w:ascii="Times New Roman" w:hAnsi="Times New Roman" w:cs="Times New Roman"/>
          <w:i/>
        </w:rPr>
      </w:pPr>
      <w:r>
        <w:rPr>
          <w:rFonts w:ascii="Times New Roman" w:hAnsi="Times New Roman" w:cs="Times New Roman"/>
          <w:b/>
          <w:i/>
        </w:rPr>
        <w:t>Protein and mRNA</w:t>
      </w:r>
      <w:r w:rsidRPr="00963075">
        <w:rPr>
          <w:rFonts w:ascii="Times New Roman" w:hAnsi="Times New Roman" w:cs="Times New Roman"/>
          <w:b/>
          <w:i/>
        </w:rPr>
        <w:t xml:space="preserve"> analysis</w:t>
      </w:r>
    </w:p>
    <w:p w14:paraId="5CFC2DF5" w14:textId="1EE38A07" w:rsidR="007C0D55" w:rsidRPr="000542F2" w:rsidRDefault="007C0D55" w:rsidP="00EB3C6D">
      <w:pPr>
        <w:spacing w:before="1" w:after="1" w:line="480" w:lineRule="auto"/>
        <w:rPr>
          <w:rFonts w:ascii="Times New Roman" w:hAnsi="Times New Roman" w:cs="Times New Roman"/>
        </w:rPr>
      </w:pPr>
      <w:r>
        <w:rPr>
          <w:rFonts w:ascii="Times New Roman" w:hAnsi="Times New Roman" w:cs="Times New Roman"/>
        </w:rPr>
        <w:t>Western blots analysis was performed as previously described</w:t>
      </w:r>
      <w:r>
        <w:rPr>
          <w:rFonts w:ascii="Times New Roman" w:hAnsi="Times New Roman" w:cs="Times New Roman"/>
        </w:rPr>
        <w:fldChar w:fldCharType="begin"/>
      </w:r>
      <w:r w:rsidR="00905DD6">
        <w:rPr>
          <w:rFonts w:ascii="Times New Roman" w:hAnsi="Times New Roman" w:cs="Times New Roman"/>
        </w:rPr>
        <w:instrText xml:space="preserve"> ADDIN PAPERS2_CITATIONS &lt;citation&gt;&lt;uuid&gt;375B54BB-60B3-4135-87D2-8F0AED8C9AB8&lt;/uuid&gt;&lt;priority&gt;0&lt;/priority&gt;&lt;publications&gt;&lt;publication&gt;&lt;uuid&gt;59713B87-9DAB-4E1A-84BB-1D761D1CAB4C&lt;/uuid&gt;&lt;volume&gt;7&lt;/volume&gt;&lt;accepted_date&gt;99201607011200000000222000&lt;/accepted_date&gt;&lt;doi&gt;10.18632/oncotarget.10748&lt;/doi&gt;&lt;startpage&gt;61152&lt;/startpage&gt;&lt;publication_date&gt;99201609201200000000222000&lt;/publication_date&gt;&lt;url&gt;http://www.oncotarget.com/abstract/10748&lt;/url&gt;&lt;type&gt;400&lt;/type&gt;&lt;title&gt;Oncogenic effects of urotensin-II in cells lacking tuberous sclerosis complex-2.&lt;/title&gt;&lt;submission_date&gt;99201605201200000000222000&lt;/submission_date&gt;&lt;number&gt;38&lt;/number&gt;&lt;institution&gt;Meakins-Christie Laboratories, Translational Research in Respiratory Diseases Program, Montreal, Quebec, Canada.&lt;/institution&gt;&lt;subtype&gt;400&lt;/subtype&gt;&lt;endpage&gt;61165&lt;/endpage&gt;&lt;bundle&gt;&lt;publication&gt;&lt;title&gt;Oncotarget&lt;/title&gt;&lt;type&gt;-100&lt;/type&gt;&lt;subtype&gt;-100&lt;/subtype&gt;&lt;uuid&gt;84BF6B6C-56D1-4D08-9AEA-C6BA729020D9&lt;/uuid&gt;&lt;/publication&gt;&lt;/bundle&gt;&lt;authors&gt;&lt;author&gt;&lt;firstName&gt;Alexander&lt;/firstName&gt;&lt;middleNames&gt;A&lt;/middleNames&gt;&lt;lastName&gt;Goldberg&lt;/lastName&gt;&lt;/author&gt;&lt;author&gt;&lt;firstName&gt;Kwang-Bo&lt;/firstName&gt;&lt;lastName&gt;Joung&lt;/lastName&gt;&lt;/author&gt;&lt;author&gt;&lt;firstName&gt;Asma&lt;/firstName&gt;&lt;lastName&gt;Mansuri&lt;/lastName&gt;&lt;/author&gt;&lt;author&gt;&lt;firstName&gt;Yujin&lt;/firstName&gt;&lt;lastName&gt;Kang&lt;/lastName&gt;&lt;/author&gt;&lt;author&gt;&lt;firstName&gt;Raquel&lt;/firstName&gt;&lt;lastName&gt;Echavarria&lt;/lastName&gt;&lt;/author&gt;&lt;author&gt;&lt;firstName&gt;Ljiljana&lt;/firstName&gt;&lt;lastName&gt;Nikolajev&lt;/lastName&gt;&lt;/author&gt;&lt;author&gt;&lt;firstName&gt;Yang&lt;/firstName&gt;&lt;lastName&gt;Sun&lt;/lastName&gt;&lt;/author&gt;&lt;author&gt;&lt;firstName&gt;Jane&lt;/firstName&gt;&lt;middleNames&gt;J&lt;/middleNames&gt;&lt;lastName&gt;Yu&lt;/lastName&gt;&lt;/author&gt;&lt;author&gt;&lt;firstName&gt;Stephane&lt;/firstName&gt;&lt;middleNames&gt;A&lt;/middleNames&gt;&lt;lastName&gt;Laporte&lt;/lastName&gt;&lt;/author&gt;&lt;author&gt;&lt;firstName&gt;Adel&lt;/firstName&gt;&lt;lastName&gt;Schwertani&lt;/lastName&gt;&lt;/author&gt;&lt;author&gt;&lt;firstName&gt;Arnold&lt;/firstName&gt;&lt;middleNames&gt;S&lt;/middleNames&gt;&lt;lastName&gt;Kristof&lt;/lastName&gt;&lt;/author&gt;&lt;/authors&gt;&lt;/publication&gt;&lt;/publications&gt;&lt;cites&gt;&lt;/cites&gt;&lt;/citation&gt;</w:instrText>
      </w:r>
      <w:r>
        <w:rPr>
          <w:rFonts w:ascii="Times New Roman" w:hAnsi="Times New Roman" w:cs="Times New Roman"/>
        </w:rPr>
        <w:fldChar w:fldCharType="separate"/>
      </w:r>
      <w:r w:rsidR="00905DD6">
        <w:rPr>
          <w:rFonts w:ascii="Times New Roman" w:eastAsiaTheme="minorHAnsi" w:hAnsi="Times New Roman" w:cs="Times New Roman"/>
        </w:rPr>
        <w:t>(1)</w:t>
      </w:r>
      <w:r>
        <w:rPr>
          <w:rFonts w:ascii="Times New Roman" w:hAnsi="Times New Roman" w:cs="Times New Roman"/>
        </w:rPr>
        <w:fldChar w:fldCharType="end"/>
      </w:r>
      <w:r>
        <w:rPr>
          <w:rFonts w:ascii="Times New Roman" w:hAnsi="Times New Roman" w:cs="Times New Roman"/>
        </w:rPr>
        <w:t>. The following</w:t>
      </w:r>
      <w:r w:rsidRPr="0005378C">
        <w:rPr>
          <w:rFonts w:ascii="Times New Roman" w:hAnsi="Times New Roman" w:cs="Times New Roman"/>
        </w:rPr>
        <w:t xml:space="preserve"> antibodies</w:t>
      </w:r>
      <w:r>
        <w:rPr>
          <w:rFonts w:ascii="Times New Roman" w:hAnsi="Times New Roman" w:cs="Times New Roman"/>
        </w:rPr>
        <w:t xml:space="preserve"> and dilution factors were used: </w:t>
      </w:r>
      <w:r w:rsidRPr="00EF0948">
        <w:rPr>
          <w:rFonts w:ascii="Times New Roman" w:hAnsi="Times New Roman" w:cs="Times New Roman"/>
        </w:rPr>
        <w:t>P-S6</w:t>
      </w:r>
      <w:r>
        <w:rPr>
          <w:rFonts w:ascii="Times New Roman" w:hAnsi="Times New Roman" w:cs="Times New Roman"/>
        </w:rPr>
        <w:t xml:space="preserve"> (1:1000, Cell Signaling #2211)</w:t>
      </w:r>
      <w:r w:rsidRPr="00EF0948">
        <w:rPr>
          <w:rFonts w:ascii="Times New Roman" w:hAnsi="Times New Roman" w:cs="Times New Roman"/>
        </w:rPr>
        <w:t>, P-S6K</w:t>
      </w:r>
      <w:r>
        <w:rPr>
          <w:rFonts w:ascii="Times New Roman" w:hAnsi="Times New Roman" w:cs="Times New Roman"/>
        </w:rPr>
        <w:t xml:space="preserve"> (1:1000, Cell Signaling #9205)</w:t>
      </w:r>
      <w:r w:rsidRPr="00EF0948">
        <w:rPr>
          <w:rFonts w:ascii="Times New Roman" w:hAnsi="Times New Roman" w:cs="Times New Roman"/>
        </w:rPr>
        <w:t>,</w:t>
      </w:r>
      <w:r>
        <w:rPr>
          <w:rFonts w:ascii="Times New Roman" w:hAnsi="Times New Roman" w:cs="Times New Roman"/>
        </w:rPr>
        <w:t xml:space="preserve"> </w:t>
      </w:r>
      <w:r w:rsidRPr="00EF0948">
        <w:rPr>
          <w:rFonts w:ascii="Times New Roman" w:hAnsi="Times New Roman" w:cs="Times New Roman"/>
        </w:rPr>
        <w:t>S6K</w:t>
      </w:r>
      <w:r>
        <w:rPr>
          <w:rFonts w:ascii="Times New Roman" w:hAnsi="Times New Roman" w:cs="Times New Roman"/>
          <w:i/>
        </w:rPr>
        <w:t xml:space="preserve"> </w:t>
      </w:r>
      <w:r>
        <w:rPr>
          <w:rFonts w:ascii="Times New Roman" w:hAnsi="Times New Roman" w:cs="Times New Roman"/>
        </w:rPr>
        <w:t>(1:1000, Cell Signaling #9202)</w:t>
      </w:r>
      <w:r>
        <w:rPr>
          <w:rFonts w:ascii="Times New Roman" w:hAnsi="Times New Roman" w:cs="Times New Roman"/>
          <w:i/>
        </w:rPr>
        <w:t>,</w:t>
      </w:r>
      <w:r w:rsidRPr="00EF0948">
        <w:rPr>
          <w:rFonts w:ascii="Times New Roman" w:hAnsi="Times New Roman" w:cs="Times New Roman"/>
        </w:rPr>
        <w:t xml:space="preserve"> HIF1</w:t>
      </w:r>
      <w:r w:rsidRPr="00EF0948">
        <w:rPr>
          <w:rFonts w:ascii="Times New Roman" w:hAnsi="Times New Roman" w:cs="Times New Roman"/>
        </w:rPr>
        <w:sym w:font="Symbol" w:char="F061"/>
      </w:r>
      <w:r>
        <w:rPr>
          <w:rFonts w:ascii="Times New Roman" w:hAnsi="Times New Roman" w:cs="Times New Roman"/>
        </w:rPr>
        <w:t xml:space="preserve"> (1:1000, Abcam ab51608)</w:t>
      </w:r>
      <w:r w:rsidRPr="00EF0948">
        <w:rPr>
          <w:rFonts w:ascii="Times New Roman" w:hAnsi="Times New Roman" w:cs="Times New Roman"/>
        </w:rPr>
        <w:t>, VEGF-D</w:t>
      </w:r>
      <w:r>
        <w:rPr>
          <w:rFonts w:ascii="Times New Roman" w:hAnsi="Times New Roman" w:cs="Times New Roman"/>
        </w:rPr>
        <w:t xml:space="preserve"> (1:2000, Abcam ab155208)</w:t>
      </w:r>
      <w:r w:rsidRPr="00EF0948">
        <w:rPr>
          <w:rFonts w:ascii="Times New Roman" w:hAnsi="Times New Roman" w:cs="Times New Roman"/>
        </w:rPr>
        <w:t>, Enolase</w:t>
      </w:r>
      <w:r>
        <w:rPr>
          <w:rFonts w:ascii="Times New Roman" w:hAnsi="Times New Roman" w:cs="Times New Roman"/>
        </w:rPr>
        <w:t xml:space="preserve"> (1:1000, Santa Cruz #7455)</w:t>
      </w:r>
      <w:r w:rsidRPr="00EF0948">
        <w:rPr>
          <w:rFonts w:ascii="Times New Roman" w:hAnsi="Times New Roman" w:cs="Times New Roman"/>
        </w:rPr>
        <w:t>, LC3B</w:t>
      </w:r>
      <w:r>
        <w:rPr>
          <w:rFonts w:ascii="Times New Roman" w:hAnsi="Times New Roman" w:cs="Times New Roman"/>
        </w:rPr>
        <w:t xml:space="preserve"> (1:1000, Cell Signaling #2775), </w:t>
      </w:r>
      <w:r w:rsidRPr="00EF0948">
        <w:rPr>
          <w:rFonts w:ascii="Times New Roman" w:hAnsi="Times New Roman" w:cs="Times New Roman"/>
        </w:rPr>
        <w:t>β</w:t>
      </w:r>
      <w:r>
        <w:rPr>
          <w:rFonts w:ascii="Times New Roman" w:hAnsi="Times New Roman" w:cs="Times New Roman"/>
        </w:rPr>
        <w:t>-actin (1:10000, Cell Signaling #3700)</w:t>
      </w:r>
      <w:r>
        <w:rPr>
          <w:rFonts w:ascii="Times New Roman" w:hAnsi="Times New Roman" w:cs="Times New Roman"/>
          <w:i/>
        </w:rPr>
        <w:t xml:space="preserve">, </w:t>
      </w:r>
      <w:r w:rsidRPr="000542F2">
        <w:rPr>
          <w:rFonts w:ascii="Times New Roman" w:hAnsi="Times New Roman" w:cs="Times New Roman"/>
        </w:rPr>
        <w:t>B-Catenin</w:t>
      </w:r>
      <w:r>
        <w:rPr>
          <w:rFonts w:ascii="Times New Roman" w:hAnsi="Times New Roman" w:cs="Times New Roman"/>
          <w:i/>
        </w:rPr>
        <w:t xml:space="preserve"> </w:t>
      </w:r>
      <w:r>
        <w:rPr>
          <w:rFonts w:ascii="Times New Roman" w:hAnsi="Times New Roman" w:cs="Times New Roman"/>
        </w:rPr>
        <w:t>(1:1000, Santa Cruz #7963)</w:t>
      </w:r>
      <w:r>
        <w:rPr>
          <w:rFonts w:ascii="Times New Roman" w:hAnsi="Times New Roman" w:cs="Times New Roman"/>
          <w:i/>
        </w:rPr>
        <w:t xml:space="preserve">, </w:t>
      </w:r>
      <w:r>
        <w:rPr>
          <w:rFonts w:ascii="Times New Roman" w:hAnsi="Times New Roman" w:cs="Times New Roman"/>
        </w:rPr>
        <w:t>and</w:t>
      </w:r>
      <w:r>
        <w:rPr>
          <w:rFonts w:ascii="Times New Roman" w:hAnsi="Times New Roman" w:cs="Times New Roman"/>
          <w:i/>
        </w:rPr>
        <w:t xml:space="preserve"> </w:t>
      </w:r>
      <w:r w:rsidRPr="000542F2">
        <w:rPr>
          <w:rFonts w:ascii="Times New Roman" w:hAnsi="Times New Roman" w:cs="Times New Roman"/>
        </w:rPr>
        <w:t>Tubulin</w:t>
      </w:r>
      <w:r>
        <w:rPr>
          <w:rFonts w:ascii="Times New Roman" w:hAnsi="Times New Roman" w:cs="Times New Roman"/>
        </w:rPr>
        <w:t xml:space="preserve"> (1:1000, Abcam ab131205). </w:t>
      </w:r>
      <w:r w:rsidRPr="00C045CE">
        <w:rPr>
          <w:rFonts w:ascii="Times New Roman" w:hAnsi="Times New Roman" w:cs="Times New Roman"/>
        </w:rPr>
        <w:t>Immunoreactive proteins were exposed to anti</w:t>
      </w:r>
      <w:r>
        <w:rPr>
          <w:rFonts w:ascii="Times New Roman" w:hAnsi="Times New Roman" w:cs="Times New Roman"/>
        </w:rPr>
        <w:t>-rabbit,</w:t>
      </w:r>
      <w:r w:rsidRPr="00C045CE">
        <w:rPr>
          <w:rFonts w:ascii="Times New Roman" w:hAnsi="Times New Roman" w:cs="Times New Roman"/>
        </w:rPr>
        <w:t xml:space="preserve"> anti-mouse </w:t>
      </w:r>
      <w:r>
        <w:rPr>
          <w:rFonts w:ascii="Times New Roman" w:hAnsi="Times New Roman" w:cs="Times New Roman"/>
        </w:rPr>
        <w:t>or anti-goat horseradish peroxida</w:t>
      </w:r>
      <w:r w:rsidRPr="00C045CE">
        <w:rPr>
          <w:rFonts w:ascii="Times New Roman" w:hAnsi="Times New Roman" w:cs="Times New Roman"/>
        </w:rPr>
        <w:t>se-conjugated</w:t>
      </w:r>
      <w:r>
        <w:rPr>
          <w:rFonts w:ascii="Times New Roman" w:hAnsi="Times New Roman" w:cs="Times New Roman"/>
        </w:rPr>
        <w:t xml:space="preserve"> secondary antibodies (Jackson Laboratories)</w:t>
      </w:r>
      <w:r w:rsidRPr="00C045CE">
        <w:rPr>
          <w:rFonts w:ascii="Times New Roman" w:hAnsi="Times New Roman" w:cs="Times New Roman"/>
        </w:rPr>
        <w:t>. Antigen-antibody complexes were detected using Immobilon ECL Western Chemiluminescent HRP Substrate (</w:t>
      </w:r>
      <w:r>
        <w:rPr>
          <w:rFonts w:ascii="Times New Roman" w:hAnsi="Times New Roman" w:cs="Times New Roman"/>
        </w:rPr>
        <w:t>ThermoFisher</w:t>
      </w:r>
      <w:r w:rsidRPr="00C045CE">
        <w:rPr>
          <w:rFonts w:ascii="Times New Roman" w:hAnsi="Times New Roman" w:cs="Times New Roman"/>
        </w:rPr>
        <w:t>) and recorded with a VersaDoc imaging system (Bio-Rad).</w:t>
      </w:r>
    </w:p>
    <w:p w14:paraId="517BED24" w14:textId="77777777" w:rsidR="007C0D55" w:rsidRPr="00EF0948" w:rsidRDefault="007C0D55" w:rsidP="00EB3C6D">
      <w:pPr>
        <w:spacing w:line="480" w:lineRule="auto"/>
        <w:rPr>
          <w:rFonts w:ascii="Times New Roman" w:hAnsi="Times New Roman" w:cs="Times New Roman"/>
          <w:b/>
          <w:i/>
        </w:rPr>
      </w:pPr>
    </w:p>
    <w:p w14:paraId="1A454F74" w14:textId="77777777" w:rsidR="007C0D55" w:rsidRDefault="007C0D55" w:rsidP="00EB3C6D">
      <w:pPr>
        <w:spacing w:before="1" w:after="1" w:line="480" w:lineRule="auto"/>
        <w:rPr>
          <w:rFonts w:ascii="Times New Roman" w:hAnsi="Times New Roman" w:cs="Times New Roman"/>
          <w:lang w:eastAsia="zh-CN"/>
        </w:rPr>
      </w:pPr>
      <w:r>
        <w:rPr>
          <w:rFonts w:ascii="Times New Roman" w:hAnsi="Times New Roman" w:cs="Times New Roman"/>
        </w:rPr>
        <w:t>For quantitative RT-PCR, t</w:t>
      </w:r>
      <w:r w:rsidRPr="00EF0948">
        <w:rPr>
          <w:rFonts w:ascii="Times New Roman" w:hAnsi="Times New Roman" w:cs="Times New Roman"/>
        </w:rPr>
        <w:t>otal RNA was extracted using a NucleoSpin RNA kit (</w:t>
      </w:r>
      <w:r w:rsidRPr="00EF0948">
        <w:rPr>
          <w:rFonts w:ascii="Times New Roman" w:hAnsi="Times New Roman" w:cs="Times New Roman"/>
          <w:lang w:eastAsia="zh-CN"/>
        </w:rPr>
        <w:t>Macherey-Nagel</w:t>
      </w:r>
      <w:r w:rsidRPr="00EF0948">
        <w:rPr>
          <w:rFonts w:ascii="Times New Roman" w:hAnsi="Times New Roman" w:cs="Times New Roman"/>
        </w:rPr>
        <w:t>) according to the manufacturer’s instructions. 1</w:t>
      </w:r>
      <w:r>
        <w:rPr>
          <w:rFonts w:ascii="Times New Roman" w:hAnsi="Times New Roman" w:cs="Times New Roman"/>
        </w:rPr>
        <w:t xml:space="preserve"> </w:t>
      </w:r>
      <w:r>
        <w:rPr>
          <w:rFonts w:ascii="Times New Roman" w:hAnsi="Times New Roman" w:cs="Times New Roman"/>
        </w:rPr>
        <w:sym w:font="Symbol" w:char="F06D"/>
      </w:r>
      <w:r w:rsidRPr="00EF0948">
        <w:rPr>
          <w:rFonts w:ascii="Times New Roman" w:hAnsi="Times New Roman" w:cs="Times New Roman"/>
        </w:rPr>
        <w:t>g of total RNA was used for Oligo (dT)</w:t>
      </w:r>
      <w:r w:rsidRPr="00EF0948">
        <w:rPr>
          <w:rFonts w:ascii="Times New Roman" w:hAnsi="Times New Roman" w:cs="Times New Roman"/>
          <w:vertAlign w:val="subscript"/>
        </w:rPr>
        <w:t>20</w:t>
      </w:r>
      <w:r w:rsidRPr="00EF0948">
        <w:rPr>
          <w:rFonts w:ascii="Times New Roman" w:hAnsi="Times New Roman" w:cs="Times New Roman"/>
        </w:rPr>
        <w:t xml:space="preserve">-primed reverse transcription. Quantitative Real-Time PCR was performed with LightCycler 480 SYBR Green I Master (Roche). Reactions were carried out on the LightCycler 480 Real-Time PCR System (Roche). </w:t>
      </w:r>
      <w:r w:rsidRPr="00EF0948">
        <w:rPr>
          <w:rFonts w:ascii="Times New Roman" w:hAnsi="Times New Roman" w:cs="Times New Roman"/>
          <w:lang w:eastAsia="zh-CN"/>
        </w:rPr>
        <w:t xml:space="preserve">After initial </w:t>
      </w:r>
      <w:r w:rsidRPr="00EF0948">
        <w:rPr>
          <w:rStyle w:val="st"/>
          <w:rFonts w:ascii="Times New Roman" w:hAnsi="Times New Roman" w:cs="Times New Roman"/>
        </w:rPr>
        <w:t xml:space="preserve">denaturation </w:t>
      </w:r>
      <w:r w:rsidRPr="00EF0948">
        <w:rPr>
          <w:rFonts w:ascii="Times New Roman" w:hAnsi="Times New Roman" w:cs="Times New Roman"/>
          <w:lang w:eastAsia="zh-CN"/>
        </w:rPr>
        <w:t>at 95</w:t>
      </w:r>
      <w:r w:rsidRPr="00EF0948">
        <w:rPr>
          <w:rFonts w:ascii="Times New Roman" w:hAnsi="Times New Roman" w:cs="Times New Roman"/>
        </w:rPr>
        <w:t>°C</w:t>
      </w:r>
      <w:r w:rsidRPr="00EF0948">
        <w:rPr>
          <w:rStyle w:val="st"/>
          <w:rFonts w:ascii="Times New Roman" w:hAnsi="Times New Roman" w:cs="Times New Roman"/>
          <w:lang w:eastAsia="zh-CN"/>
        </w:rPr>
        <w:t xml:space="preserve"> for 5</w:t>
      </w:r>
      <w:r>
        <w:rPr>
          <w:rStyle w:val="st"/>
          <w:rFonts w:ascii="Times New Roman" w:hAnsi="Times New Roman" w:cs="Times New Roman"/>
          <w:lang w:eastAsia="zh-CN"/>
        </w:rPr>
        <w:t xml:space="preserve"> </w:t>
      </w:r>
      <w:r w:rsidRPr="00EF0948">
        <w:rPr>
          <w:rStyle w:val="st"/>
          <w:rFonts w:ascii="Times New Roman" w:hAnsi="Times New Roman" w:cs="Times New Roman"/>
          <w:lang w:eastAsia="zh-CN"/>
        </w:rPr>
        <w:t xml:space="preserve">min, we performed 45 cycles of </w:t>
      </w:r>
      <w:r w:rsidRPr="00EF0948">
        <w:rPr>
          <w:rFonts w:ascii="Times New Roman" w:hAnsi="Times New Roman" w:cs="Times New Roman"/>
        </w:rPr>
        <w:t xml:space="preserve">95°C for 10s, 60°C for 10s, and 72°C for 10s, </w:t>
      </w:r>
      <w:r>
        <w:rPr>
          <w:rFonts w:ascii="Times New Roman" w:hAnsi="Times New Roman" w:cs="Times New Roman"/>
        </w:rPr>
        <w:t>followed by</w:t>
      </w:r>
      <w:r w:rsidRPr="00EF0948">
        <w:rPr>
          <w:rFonts w:ascii="Times New Roman" w:hAnsi="Times New Roman" w:cs="Times New Roman"/>
        </w:rPr>
        <w:t xml:space="preserve"> 95°C for 5s, 65°C for 1</w:t>
      </w:r>
      <w:r>
        <w:rPr>
          <w:rFonts w:ascii="Times New Roman" w:hAnsi="Times New Roman" w:cs="Times New Roman"/>
        </w:rPr>
        <w:t xml:space="preserve"> </w:t>
      </w:r>
      <w:r w:rsidRPr="00EF0948">
        <w:rPr>
          <w:rFonts w:ascii="Times New Roman" w:hAnsi="Times New Roman" w:cs="Times New Roman"/>
        </w:rPr>
        <w:t>min, and</w:t>
      </w:r>
      <w:r>
        <w:rPr>
          <w:rFonts w:ascii="Times New Roman" w:hAnsi="Times New Roman" w:cs="Times New Roman"/>
        </w:rPr>
        <w:t xml:space="preserve"> a hold at</w:t>
      </w:r>
      <w:r w:rsidRPr="00EF0948">
        <w:rPr>
          <w:rFonts w:ascii="Times New Roman" w:hAnsi="Times New Roman" w:cs="Times New Roman"/>
        </w:rPr>
        <w:t xml:space="preserve"> 95°C</w:t>
      </w:r>
      <w:r w:rsidRPr="00EF0948">
        <w:rPr>
          <w:rFonts w:ascii="Times New Roman" w:hAnsi="Times New Roman" w:cs="Times New Roman"/>
          <w:lang w:eastAsia="zh-CN"/>
        </w:rPr>
        <w:t>.</w:t>
      </w:r>
      <w:r w:rsidRPr="00EF0948">
        <w:rPr>
          <w:rFonts w:ascii="Times New Roman" w:hAnsi="Times New Roman" w:cs="Times New Roman" w:hint="eastAsia"/>
          <w:lang w:eastAsia="zh-CN"/>
        </w:rPr>
        <w:t xml:space="preserve"> </w:t>
      </w:r>
      <w:r w:rsidRPr="00EF0948">
        <w:rPr>
          <w:rFonts w:ascii="Times New Roman" w:hAnsi="Times New Roman" w:cs="Times New Roman"/>
        </w:rPr>
        <w:t>Triplicate amplifications were carried out for each target gene. We performed quantification using the comparative Ct method</w:t>
      </w:r>
      <w:r>
        <w:rPr>
          <w:rFonts w:ascii="Times New Roman" w:hAnsi="Times New Roman" w:cs="Times New Roman"/>
        </w:rPr>
        <w:t>,</w:t>
      </w:r>
      <w:r w:rsidRPr="00EF0948">
        <w:rPr>
          <w:rFonts w:ascii="Times New Roman" w:hAnsi="Times New Roman" w:cs="Times New Roman"/>
        </w:rPr>
        <w:t xml:space="preserve"> normalized </w:t>
      </w:r>
      <w:r>
        <w:rPr>
          <w:rFonts w:ascii="Times New Roman" w:hAnsi="Times New Roman" w:cs="Times New Roman"/>
        </w:rPr>
        <w:t>to</w:t>
      </w:r>
      <w:r w:rsidRPr="00EF0948">
        <w:rPr>
          <w:rFonts w:ascii="Times New Roman" w:hAnsi="Times New Roman" w:cs="Times New Roman"/>
        </w:rPr>
        <w:t xml:space="preserve"> the housekeeping gene GAPDH</w:t>
      </w:r>
      <w:r>
        <w:rPr>
          <w:rFonts w:ascii="Times New Roman" w:hAnsi="Times New Roman" w:cs="Times New Roman"/>
        </w:rPr>
        <w:t>,</w:t>
      </w:r>
      <w:r w:rsidRPr="00EF0948">
        <w:rPr>
          <w:rFonts w:ascii="Times New Roman" w:hAnsi="Times New Roman" w:cs="Times New Roman"/>
        </w:rPr>
        <w:t xml:space="preserve"> and presented as a percentage of biological controls. Primer sequences are </w:t>
      </w:r>
      <w:r>
        <w:rPr>
          <w:rFonts w:ascii="Times New Roman" w:hAnsi="Times New Roman" w:cs="Times New Roman" w:hint="eastAsia"/>
          <w:lang w:eastAsia="zh-CN"/>
        </w:rPr>
        <w:t>as follows</w:t>
      </w:r>
      <w:r>
        <w:rPr>
          <w:rFonts w:ascii="Times New Roman" w:hAnsi="Times New Roman" w:cs="Times New Roman"/>
          <w:lang w:eastAsia="zh-CN"/>
        </w:rPr>
        <w:t xml:space="preserve"> (sequences written 5’ to 3’):</w:t>
      </w:r>
    </w:p>
    <w:p w14:paraId="7005D2A7" w14:textId="77777777" w:rsidR="007C0D55" w:rsidRDefault="007C0D55" w:rsidP="00EB3C6D">
      <w:pPr>
        <w:spacing w:before="1" w:after="1" w:line="480" w:lineRule="auto"/>
        <w:rPr>
          <w:rFonts w:ascii="Times New Roman" w:hAnsi="Times New Roman" w:cs="Times New Roman"/>
          <w:lang w:eastAsia="zh-CN"/>
        </w:rPr>
      </w:pPr>
      <w:r>
        <w:rPr>
          <w:rFonts w:ascii="Times New Roman" w:hAnsi="Times New Roman" w:cs="Times New Roman"/>
          <w:i/>
          <w:lang w:eastAsia="zh-CN"/>
        </w:rPr>
        <w:t>EF1</w:t>
      </w:r>
      <w:r w:rsidRPr="00EF0948">
        <w:rPr>
          <w:rFonts w:ascii="Times New Roman" w:hAnsi="Times New Roman" w:cs="Times New Roman"/>
        </w:rPr>
        <w:sym w:font="Symbol" w:char="F061"/>
      </w:r>
      <w:r>
        <w:rPr>
          <w:rFonts w:ascii="Times New Roman" w:hAnsi="Times New Roman" w:cs="Times New Roman"/>
          <w:i/>
          <w:lang w:eastAsia="zh-CN"/>
        </w:rPr>
        <w:t xml:space="preserve">: </w:t>
      </w:r>
      <w:r>
        <w:rPr>
          <w:rFonts w:ascii="Times New Roman" w:hAnsi="Times New Roman" w:cs="Times New Roman"/>
          <w:lang w:eastAsia="zh-CN"/>
        </w:rPr>
        <w:t xml:space="preserve">Forward </w:t>
      </w:r>
      <w:r w:rsidRPr="00AB121C">
        <w:rPr>
          <w:rFonts w:ascii="Times New Roman" w:hAnsi="Times New Roman" w:cs="Times New Roman"/>
          <w:sz w:val="20"/>
          <w:szCs w:val="20"/>
          <w:lang w:eastAsia="zh-CN"/>
        </w:rPr>
        <w:t>(CCAGGCAAGGCAAGTCAAGCCA)</w:t>
      </w:r>
      <w:r>
        <w:rPr>
          <w:rFonts w:ascii="Times New Roman" w:hAnsi="Times New Roman" w:cs="Times New Roman"/>
          <w:lang w:eastAsia="zh-CN"/>
        </w:rPr>
        <w:t xml:space="preserve">; Reverse </w:t>
      </w:r>
      <w:r w:rsidRPr="00AB121C">
        <w:rPr>
          <w:rFonts w:ascii="Times New Roman" w:hAnsi="Times New Roman" w:cs="Times New Roman"/>
          <w:sz w:val="20"/>
          <w:szCs w:val="20"/>
          <w:lang w:eastAsia="zh-CN"/>
        </w:rPr>
        <w:t>(</w:t>
      </w:r>
      <w:r w:rsidRPr="00AB121C">
        <w:rPr>
          <w:rFonts w:ascii="Times New Roman" w:hAnsi="Times New Roman"/>
          <w:sz w:val="20"/>
          <w:szCs w:val="20"/>
          <w:lang w:eastAsia="zh-CN"/>
        </w:rPr>
        <w:t>AGGGCCAGGCTCATAGCACACAT</w:t>
      </w:r>
      <w:r w:rsidRPr="00AB121C">
        <w:rPr>
          <w:rFonts w:ascii="Times New Roman" w:hAnsi="Times New Roman" w:cs="Times New Roman"/>
          <w:sz w:val="20"/>
          <w:szCs w:val="20"/>
          <w:lang w:eastAsia="zh-CN"/>
        </w:rPr>
        <w:t>)</w:t>
      </w:r>
    </w:p>
    <w:p w14:paraId="2A6F55BE" w14:textId="77777777" w:rsidR="007C0D55" w:rsidRPr="00B222B2" w:rsidRDefault="007C0D55" w:rsidP="00EB3C6D">
      <w:pPr>
        <w:spacing w:before="1" w:after="1" w:line="480" w:lineRule="auto"/>
        <w:rPr>
          <w:rFonts w:ascii="Times New Roman" w:hAnsi="Times New Roman"/>
          <w:lang w:eastAsia="zh-CN"/>
        </w:rPr>
      </w:pPr>
      <w:r>
        <w:rPr>
          <w:rFonts w:ascii="Times New Roman" w:hAnsi="Times New Roman" w:cs="Times New Roman"/>
          <w:i/>
          <w:lang w:eastAsia="zh-CN"/>
        </w:rPr>
        <w:t xml:space="preserve">OCT4: </w:t>
      </w:r>
      <w:r>
        <w:rPr>
          <w:rFonts w:ascii="Times New Roman" w:hAnsi="Times New Roman" w:cs="Times New Roman"/>
          <w:lang w:eastAsia="zh-CN"/>
        </w:rPr>
        <w:t xml:space="preserve">Forward </w:t>
      </w:r>
      <w:r w:rsidRPr="00AB121C">
        <w:rPr>
          <w:rFonts w:ascii="Times New Roman" w:hAnsi="Times New Roman" w:cs="Times New Roman"/>
          <w:sz w:val="20"/>
          <w:szCs w:val="20"/>
          <w:lang w:eastAsia="zh-CN"/>
        </w:rPr>
        <w:t>(</w:t>
      </w:r>
      <w:r w:rsidRPr="00AB121C">
        <w:rPr>
          <w:rFonts w:ascii="Times New Roman" w:hAnsi="Times New Roman"/>
          <w:sz w:val="20"/>
          <w:szCs w:val="20"/>
          <w:lang w:eastAsia="zh-CN"/>
        </w:rPr>
        <w:t>TCAGCCAAACGACCATCTGCCG</w:t>
      </w:r>
      <w:r w:rsidRPr="00AB121C">
        <w:rPr>
          <w:rFonts w:ascii="Times New Roman" w:hAnsi="Times New Roman" w:cs="Times New Roman"/>
          <w:sz w:val="20"/>
          <w:szCs w:val="20"/>
          <w:lang w:eastAsia="zh-CN"/>
        </w:rPr>
        <w:t>)</w:t>
      </w:r>
      <w:r>
        <w:rPr>
          <w:rFonts w:ascii="Times New Roman" w:hAnsi="Times New Roman" w:cs="Times New Roman"/>
          <w:lang w:eastAsia="zh-CN"/>
        </w:rPr>
        <w:t xml:space="preserve">; Reverse </w:t>
      </w:r>
      <w:r w:rsidRPr="00AB121C">
        <w:rPr>
          <w:rFonts w:ascii="Times New Roman" w:hAnsi="Times New Roman" w:cs="Times New Roman"/>
          <w:sz w:val="20"/>
          <w:szCs w:val="20"/>
          <w:lang w:eastAsia="zh-CN"/>
        </w:rPr>
        <w:t>(</w:t>
      </w:r>
      <w:r w:rsidRPr="00AB121C">
        <w:rPr>
          <w:rFonts w:ascii="Times New Roman" w:hAnsi="Times New Roman"/>
          <w:sz w:val="20"/>
          <w:szCs w:val="20"/>
          <w:lang w:eastAsia="zh-CN"/>
        </w:rPr>
        <w:t>AGCAAGGGCCGCAGCTTACA</w:t>
      </w:r>
      <w:r w:rsidRPr="00AB121C">
        <w:rPr>
          <w:rFonts w:ascii="Times New Roman" w:hAnsi="Times New Roman" w:cs="Times New Roman"/>
          <w:sz w:val="20"/>
          <w:szCs w:val="20"/>
          <w:lang w:eastAsia="zh-CN"/>
        </w:rPr>
        <w:t>)</w:t>
      </w:r>
      <w:r>
        <w:rPr>
          <w:rFonts w:ascii="Times New Roman" w:hAnsi="Times New Roman" w:cs="Times New Roman"/>
          <w:i/>
          <w:lang w:eastAsia="zh-CN"/>
        </w:rPr>
        <w:t xml:space="preserve"> </w:t>
      </w:r>
    </w:p>
    <w:p w14:paraId="0C392448" w14:textId="77777777" w:rsidR="007C0D55" w:rsidRDefault="007C0D55" w:rsidP="00EB3C6D">
      <w:pPr>
        <w:spacing w:before="1" w:after="1" w:line="480" w:lineRule="auto"/>
        <w:rPr>
          <w:rFonts w:ascii="Times New Roman" w:hAnsi="Times New Roman" w:cs="Times New Roman"/>
          <w:sz w:val="20"/>
          <w:szCs w:val="20"/>
          <w:lang w:eastAsia="zh-CN"/>
        </w:rPr>
      </w:pPr>
      <w:r>
        <w:rPr>
          <w:rFonts w:ascii="Times New Roman" w:hAnsi="Times New Roman" w:cs="Times New Roman"/>
          <w:i/>
          <w:lang w:eastAsia="zh-CN"/>
        </w:rPr>
        <w:t xml:space="preserve">NANONG: </w:t>
      </w:r>
      <w:r>
        <w:rPr>
          <w:rFonts w:ascii="Times New Roman" w:hAnsi="Times New Roman" w:cs="Times New Roman"/>
          <w:lang w:eastAsia="zh-CN"/>
        </w:rPr>
        <w:t xml:space="preserve">Forward </w:t>
      </w:r>
      <w:r w:rsidRPr="00EA1DEE">
        <w:rPr>
          <w:rFonts w:ascii="Times New Roman" w:hAnsi="Times New Roman" w:cs="Times New Roman"/>
          <w:sz w:val="20"/>
          <w:szCs w:val="20"/>
          <w:lang w:eastAsia="zh-CN"/>
        </w:rPr>
        <w:t>(</w:t>
      </w:r>
      <w:r w:rsidRPr="00EA1DEE">
        <w:rPr>
          <w:rFonts w:ascii="Times New Roman" w:hAnsi="Times New Roman"/>
          <w:sz w:val="20"/>
          <w:szCs w:val="20"/>
          <w:lang w:eastAsia="zh-CN"/>
        </w:rPr>
        <w:t>ACGCAGAAGGCCTCAGCACCTA</w:t>
      </w:r>
      <w:r w:rsidRPr="00EA1DEE">
        <w:rPr>
          <w:rFonts w:ascii="Times New Roman" w:hAnsi="Times New Roman" w:cs="Times New Roman"/>
          <w:sz w:val="20"/>
          <w:szCs w:val="20"/>
          <w:lang w:eastAsia="zh-CN"/>
        </w:rPr>
        <w:t>)</w:t>
      </w:r>
      <w:r>
        <w:rPr>
          <w:rFonts w:ascii="Times New Roman" w:hAnsi="Times New Roman" w:cs="Times New Roman"/>
          <w:lang w:eastAsia="zh-CN"/>
        </w:rPr>
        <w:t xml:space="preserve">; Reverse </w:t>
      </w:r>
      <w:r w:rsidRPr="00EA1DEE">
        <w:rPr>
          <w:rFonts w:ascii="Times New Roman" w:hAnsi="Times New Roman" w:cs="Times New Roman"/>
          <w:sz w:val="20"/>
          <w:szCs w:val="20"/>
          <w:lang w:eastAsia="zh-CN"/>
        </w:rPr>
        <w:t>(</w:t>
      </w:r>
      <w:r w:rsidRPr="00EA1DEE">
        <w:rPr>
          <w:rFonts w:ascii="Times New Roman" w:hAnsi="Times New Roman"/>
          <w:sz w:val="20"/>
          <w:szCs w:val="20"/>
          <w:lang w:eastAsia="zh-CN"/>
        </w:rPr>
        <w:t>AGGTTCCCAGTCGGGTTCACCA</w:t>
      </w:r>
      <w:r w:rsidRPr="00EA1DEE">
        <w:rPr>
          <w:rFonts w:ascii="Times New Roman" w:hAnsi="Times New Roman" w:cs="Times New Roman"/>
          <w:sz w:val="20"/>
          <w:szCs w:val="20"/>
          <w:lang w:eastAsia="zh-CN"/>
        </w:rPr>
        <w:t>)</w:t>
      </w:r>
    </w:p>
    <w:p w14:paraId="073191DC" w14:textId="77777777" w:rsidR="007C0D55" w:rsidRPr="00EA1DEE" w:rsidRDefault="007C0D55" w:rsidP="00EB3C6D">
      <w:pPr>
        <w:spacing w:before="1" w:after="1" w:line="480" w:lineRule="auto"/>
        <w:rPr>
          <w:rFonts w:ascii="Times New Roman" w:hAnsi="Times New Roman"/>
          <w:sz w:val="20"/>
          <w:szCs w:val="20"/>
          <w:lang w:eastAsia="zh-CN"/>
        </w:rPr>
      </w:pPr>
      <w:r>
        <w:rPr>
          <w:rFonts w:ascii="Times New Roman" w:hAnsi="Times New Roman" w:cs="Times New Roman"/>
          <w:i/>
          <w:lang w:eastAsia="zh-CN"/>
        </w:rPr>
        <w:t xml:space="preserve">SOX2: </w:t>
      </w:r>
      <w:r>
        <w:rPr>
          <w:rFonts w:ascii="Times New Roman" w:hAnsi="Times New Roman" w:cs="Times New Roman"/>
          <w:lang w:eastAsia="zh-CN"/>
        </w:rPr>
        <w:t xml:space="preserve">Forward </w:t>
      </w:r>
      <w:r w:rsidRPr="00EA1DEE">
        <w:rPr>
          <w:rFonts w:ascii="Times New Roman" w:hAnsi="Times New Roman" w:cs="Times New Roman"/>
          <w:sz w:val="20"/>
          <w:szCs w:val="20"/>
          <w:lang w:eastAsia="zh-CN"/>
        </w:rPr>
        <w:t>(</w:t>
      </w:r>
      <w:r w:rsidRPr="00EA1DEE">
        <w:rPr>
          <w:rFonts w:ascii="Times New Roman" w:hAnsi="Times New Roman"/>
          <w:sz w:val="20"/>
          <w:szCs w:val="20"/>
          <w:lang w:eastAsia="zh-CN"/>
        </w:rPr>
        <w:t>TACAGCATGTCCTACTCGCAG</w:t>
      </w:r>
      <w:r w:rsidRPr="00EA1DEE">
        <w:rPr>
          <w:rFonts w:ascii="Times New Roman" w:hAnsi="Times New Roman" w:cs="Times New Roman"/>
          <w:sz w:val="20"/>
          <w:szCs w:val="20"/>
          <w:lang w:eastAsia="zh-CN"/>
        </w:rPr>
        <w:t>)</w:t>
      </w:r>
      <w:r>
        <w:rPr>
          <w:rFonts w:ascii="Times New Roman" w:hAnsi="Times New Roman" w:cs="Times New Roman"/>
          <w:lang w:eastAsia="zh-CN"/>
        </w:rPr>
        <w:t xml:space="preserve">; Reverse </w:t>
      </w:r>
      <w:r w:rsidRPr="00EA1DEE">
        <w:rPr>
          <w:rFonts w:ascii="Times New Roman" w:hAnsi="Times New Roman" w:cs="Times New Roman"/>
          <w:sz w:val="20"/>
          <w:szCs w:val="20"/>
          <w:lang w:eastAsia="zh-CN"/>
        </w:rPr>
        <w:t>(</w:t>
      </w:r>
      <w:r w:rsidRPr="00EA1DEE">
        <w:rPr>
          <w:rFonts w:ascii="Times New Roman" w:hAnsi="Times New Roman"/>
          <w:sz w:val="20"/>
          <w:szCs w:val="20"/>
          <w:lang w:eastAsia="zh-CN"/>
        </w:rPr>
        <w:t>GAGGAAGAGGTAACCACAGGG</w:t>
      </w:r>
      <w:r w:rsidRPr="00EA1DEE">
        <w:rPr>
          <w:rFonts w:ascii="Times New Roman" w:hAnsi="Times New Roman" w:cs="Times New Roman"/>
          <w:sz w:val="20"/>
          <w:szCs w:val="20"/>
          <w:lang w:eastAsia="zh-CN"/>
        </w:rPr>
        <w:t>)</w:t>
      </w:r>
    </w:p>
    <w:p w14:paraId="13B56523" w14:textId="77777777" w:rsidR="007C0D55" w:rsidRPr="00F95ECE" w:rsidRDefault="007C0D55" w:rsidP="00EB3C6D">
      <w:pPr>
        <w:spacing w:before="1" w:after="1" w:line="480" w:lineRule="auto"/>
        <w:rPr>
          <w:rFonts w:ascii="Times New Roman" w:hAnsi="Times New Roman"/>
          <w:sz w:val="20"/>
          <w:szCs w:val="20"/>
          <w:lang w:eastAsia="zh-CN"/>
        </w:rPr>
      </w:pPr>
      <w:r>
        <w:rPr>
          <w:rFonts w:ascii="Times New Roman" w:hAnsi="Times New Roman" w:cs="Times New Roman"/>
          <w:i/>
          <w:lang w:eastAsia="zh-CN"/>
        </w:rPr>
        <w:t xml:space="preserve">GAPDH: </w:t>
      </w:r>
      <w:r>
        <w:rPr>
          <w:rFonts w:ascii="Times New Roman" w:hAnsi="Times New Roman" w:cs="Times New Roman"/>
          <w:lang w:eastAsia="zh-CN"/>
        </w:rPr>
        <w:t xml:space="preserve">Forward </w:t>
      </w:r>
      <w:r w:rsidRPr="00F95ECE">
        <w:rPr>
          <w:rFonts w:ascii="Times New Roman" w:hAnsi="Times New Roman" w:cs="Times New Roman"/>
          <w:sz w:val="20"/>
          <w:szCs w:val="20"/>
          <w:lang w:eastAsia="zh-CN"/>
        </w:rPr>
        <w:t>(</w:t>
      </w:r>
      <w:r w:rsidRPr="00F95ECE">
        <w:rPr>
          <w:rFonts w:ascii="Times New Roman" w:hAnsi="Times New Roman"/>
          <w:sz w:val="20"/>
          <w:szCs w:val="20"/>
          <w:lang w:eastAsia="zh-CN"/>
        </w:rPr>
        <w:t>AGCACCAGGTGGTCTCCTCTGA</w:t>
      </w:r>
      <w:r w:rsidRPr="00F95ECE">
        <w:rPr>
          <w:rFonts w:ascii="Times New Roman" w:hAnsi="Times New Roman" w:cs="Times New Roman"/>
          <w:sz w:val="20"/>
          <w:szCs w:val="20"/>
          <w:lang w:eastAsia="zh-CN"/>
        </w:rPr>
        <w:t>)</w:t>
      </w:r>
      <w:r>
        <w:rPr>
          <w:rFonts w:ascii="Times New Roman" w:hAnsi="Times New Roman" w:cs="Times New Roman"/>
          <w:lang w:eastAsia="zh-CN"/>
        </w:rPr>
        <w:t xml:space="preserve">; Reverse </w:t>
      </w:r>
      <w:r w:rsidRPr="00F95ECE">
        <w:rPr>
          <w:rFonts w:ascii="Times New Roman" w:hAnsi="Times New Roman" w:cs="Times New Roman"/>
          <w:sz w:val="20"/>
          <w:szCs w:val="20"/>
          <w:lang w:eastAsia="zh-CN"/>
        </w:rPr>
        <w:t>(</w:t>
      </w:r>
      <w:r w:rsidRPr="00F95ECE">
        <w:rPr>
          <w:rFonts w:ascii="Times New Roman" w:hAnsi="Times New Roman"/>
          <w:sz w:val="20"/>
          <w:szCs w:val="20"/>
          <w:lang w:eastAsia="zh-CN"/>
        </w:rPr>
        <w:t>AATGCCAGCCCCAGCGTCAA</w:t>
      </w:r>
      <w:r w:rsidRPr="00F95ECE">
        <w:rPr>
          <w:rFonts w:ascii="Times New Roman" w:hAnsi="Times New Roman" w:cs="Times New Roman"/>
          <w:sz w:val="20"/>
          <w:szCs w:val="20"/>
          <w:lang w:eastAsia="zh-CN"/>
        </w:rPr>
        <w:t>)</w:t>
      </w:r>
      <w:r w:rsidRPr="00F95ECE">
        <w:rPr>
          <w:rFonts w:ascii="Times New Roman" w:hAnsi="Times New Roman" w:cs="Times New Roman"/>
          <w:i/>
          <w:sz w:val="20"/>
          <w:szCs w:val="20"/>
          <w:lang w:eastAsia="zh-CN"/>
        </w:rPr>
        <w:t xml:space="preserve"> </w:t>
      </w:r>
    </w:p>
    <w:p w14:paraId="30F5BCBE" w14:textId="77777777" w:rsidR="007C0D55" w:rsidRPr="00EF0948" w:rsidRDefault="007C0D55" w:rsidP="00EB3C6D">
      <w:pPr>
        <w:spacing w:before="1" w:after="1" w:line="480" w:lineRule="auto"/>
        <w:rPr>
          <w:rFonts w:ascii="Times New Roman" w:hAnsi="Times New Roman" w:cs="Times New Roman"/>
        </w:rPr>
      </w:pPr>
    </w:p>
    <w:p w14:paraId="5E56945F" w14:textId="77777777" w:rsidR="007C0D55" w:rsidRDefault="007C0D55" w:rsidP="00EB3C6D">
      <w:pPr>
        <w:spacing w:line="480" w:lineRule="auto"/>
        <w:outlineLvl w:val="0"/>
        <w:rPr>
          <w:rFonts w:ascii="Times New Roman" w:hAnsi="Times New Roman" w:cs="Times New Roman"/>
          <w:b/>
          <w:i/>
        </w:rPr>
      </w:pPr>
      <w:r>
        <w:rPr>
          <w:rFonts w:ascii="Times New Roman" w:hAnsi="Times New Roman" w:cs="Times New Roman"/>
          <w:b/>
          <w:i/>
        </w:rPr>
        <w:t>Cell size analysis</w:t>
      </w:r>
    </w:p>
    <w:p w14:paraId="3A86E810" w14:textId="77777777" w:rsidR="007C0D55" w:rsidRDefault="007C0D55" w:rsidP="00EB3C6D">
      <w:pPr>
        <w:spacing w:line="480" w:lineRule="auto"/>
        <w:rPr>
          <w:rFonts w:ascii="Times New Roman" w:hAnsi="Times New Roman" w:cs="Times New Roman"/>
        </w:rPr>
      </w:pPr>
      <w:r>
        <w:rPr>
          <w:rFonts w:ascii="Times New Roman" w:hAnsi="Times New Roman" w:cs="Times New Roman"/>
        </w:rPr>
        <w:t>Cell diameter measurements (Fig. 3C) were obtained of SMC suspension cultures following disassociation with 0.05% trypsin using the automated Cellometer Auto 2000 cell viability counter (Nexcelom Biosciences). Data reported are the average cell diameter of at least 100 cells for each cell line and replicate. Cell area measurements of lentivirus-transduced SMCs (Supplementary Fig. S6) were obtained by analysis of phase contrast images using the freehand selection tracing and measurement analysis tools in ImageJ. The reported data are the average cell area of at least 50 cells for each cell line and replicate.</w:t>
      </w:r>
    </w:p>
    <w:p w14:paraId="5900A6FB" w14:textId="77777777" w:rsidR="002B6ECD" w:rsidRDefault="002B6ECD" w:rsidP="00EB3C6D">
      <w:pPr>
        <w:spacing w:line="480" w:lineRule="auto"/>
        <w:rPr>
          <w:rFonts w:ascii="Times New Roman" w:hAnsi="Times New Roman" w:cs="Times New Roman"/>
        </w:rPr>
      </w:pPr>
    </w:p>
    <w:p w14:paraId="34253A6D" w14:textId="77777777" w:rsidR="002B6ECD" w:rsidRPr="00EF0948" w:rsidRDefault="002B6ECD" w:rsidP="00EB3C6D">
      <w:pPr>
        <w:spacing w:line="480" w:lineRule="auto"/>
        <w:outlineLvl w:val="0"/>
        <w:rPr>
          <w:rFonts w:ascii="Times New Roman" w:hAnsi="Times New Roman" w:cs="Times New Roman"/>
          <w:b/>
          <w:i/>
        </w:rPr>
      </w:pPr>
      <w:r w:rsidRPr="00EF0948">
        <w:rPr>
          <w:rFonts w:ascii="Times New Roman" w:hAnsi="Times New Roman" w:cs="Times New Roman"/>
          <w:b/>
          <w:i/>
        </w:rPr>
        <w:t>Genotyping analyses</w:t>
      </w:r>
    </w:p>
    <w:p w14:paraId="133F2B56" w14:textId="77777777" w:rsidR="002B6ECD" w:rsidRDefault="002B6ECD" w:rsidP="00EB3C6D">
      <w:pPr>
        <w:spacing w:before="1" w:after="1" w:line="480" w:lineRule="auto"/>
        <w:rPr>
          <w:rFonts w:ascii="Times New Roman" w:hAnsi="Times New Roman" w:cs="Times New Roman"/>
          <w:lang w:eastAsia="zh-CN"/>
        </w:rPr>
      </w:pPr>
      <w:r w:rsidRPr="00EF0948">
        <w:rPr>
          <w:rFonts w:ascii="Times New Roman" w:hAnsi="Times New Roman" w:cs="Times New Roman"/>
          <w:lang w:eastAsia="zh-CN"/>
        </w:rPr>
        <w:t>DNA was extracted</w:t>
      </w:r>
      <w:r>
        <w:rPr>
          <w:rFonts w:ascii="Times New Roman" w:hAnsi="Times New Roman" w:cs="Times New Roman"/>
          <w:lang w:eastAsia="zh-CN"/>
        </w:rPr>
        <w:t xml:space="preserve"> from fibroblast-derived iPSCs</w:t>
      </w:r>
      <w:r w:rsidRPr="00EF0948">
        <w:rPr>
          <w:rFonts w:ascii="Times New Roman" w:hAnsi="Times New Roman" w:cs="Times New Roman"/>
          <w:lang w:eastAsia="zh-CN"/>
        </w:rPr>
        <w:t xml:space="preserve"> using </w:t>
      </w:r>
      <w:r>
        <w:rPr>
          <w:rFonts w:ascii="Times New Roman" w:hAnsi="Times New Roman" w:cs="Times New Roman"/>
          <w:lang w:eastAsia="zh-CN"/>
        </w:rPr>
        <w:t xml:space="preserve">the </w:t>
      </w:r>
      <w:r w:rsidRPr="00EF0948">
        <w:rPr>
          <w:rFonts w:ascii="Times New Roman" w:hAnsi="Times New Roman" w:cs="Times New Roman"/>
          <w:lang w:eastAsia="zh-CN"/>
        </w:rPr>
        <w:t xml:space="preserve">NucleoSpin Tissue kit (Macherey-Nagel, </w:t>
      </w:r>
      <w:r w:rsidRPr="00EF0948">
        <w:rPr>
          <w:rStyle w:val="ft2"/>
          <w:rFonts w:ascii="Times New Roman" w:hAnsi="Times New Roman" w:cs="Times New Roman"/>
        </w:rPr>
        <w:t>Düren</w:t>
      </w:r>
      <w:r w:rsidRPr="00EF0948">
        <w:rPr>
          <w:rStyle w:val="ft2"/>
          <w:rFonts w:ascii="Times New Roman" w:hAnsi="Times New Roman" w:cs="Times New Roman"/>
          <w:lang w:eastAsia="zh-CN"/>
        </w:rPr>
        <w:t>, Germany</w:t>
      </w:r>
      <w:r w:rsidRPr="00EF0948">
        <w:rPr>
          <w:rFonts w:ascii="Times New Roman" w:hAnsi="Times New Roman" w:cs="Times New Roman"/>
          <w:lang w:eastAsia="zh-CN"/>
        </w:rPr>
        <w:t xml:space="preserve">). Regions containing the known parental </w:t>
      </w:r>
      <w:r w:rsidRPr="00EF0948">
        <w:rPr>
          <w:rFonts w:ascii="Times New Roman" w:hAnsi="Times New Roman" w:cs="Times New Roman"/>
          <w:i/>
          <w:lang w:eastAsia="zh-CN"/>
        </w:rPr>
        <w:t xml:space="preserve">TSC2 </w:t>
      </w:r>
      <w:r w:rsidRPr="00EF0948">
        <w:rPr>
          <w:rFonts w:ascii="Times New Roman" w:hAnsi="Times New Roman" w:cs="Times New Roman"/>
          <w:lang w:eastAsia="zh-CN"/>
        </w:rPr>
        <w:t xml:space="preserve">mutations were amplified using PCR with the following conditions: </w:t>
      </w:r>
      <w:r w:rsidRPr="00EF0948">
        <w:rPr>
          <w:rStyle w:val="st"/>
          <w:rFonts w:ascii="Times New Roman" w:hAnsi="Times New Roman" w:cs="Times New Roman"/>
        </w:rPr>
        <w:t xml:space="preserve">denaturation </w:t>
      </w:r>
      <w:r w:rsidRPr="00EF0948">
        <w:rPr>
          <w:rFonts w:ascii="Times New Roman" w:hAnsi="Times New Roman" w:cs="Times New Roman"/>
          <w:lang w:eastAsia="zh-CN"/>
        </w:rPr>
        <w:t>at 95</w:t>
      </w:r>
      <w:r w:rsidRPr="00EF0948">
        <w:rPr>
          <w:rFonts w:ascii="Times New Roman" w:hAnsi="Times New Roman" w:cs="Times New Roman"/>
        </w:rPr>
        <w:t>°C</w:t>
      </w:r>
      <w:r w:rsidRPr="00EF0948">
        <w:rPr>
          <w:rStyle w:val="st"/>
          <w:rFonts w:ascii="Times New Roman" w:hAnsi="Times New Roman" w:cs="Times New Roman"/>
          <w:lang w:eastAsia="zh-CN"/>
        </w:rPr>
        <w:t xml:space="preserve"> for 7</w:t>
      </w:r>
      <w:r>
        <w:rPr>
          <w:rStyle w:val="st"/>
          <w:rFonts w:ascii="Times New Roman" w:hAnsi="Times New Roman" w:cs="Times New Roman"/>
          <w:lang w:eastAsia="zh-CN"/>
        </w:rPr>
        <w:t xml:space="preserve"> </w:t>
      </w:r>
      <w:r w:rsidRPr="00EF0948">
        <w:rPr>
          <w:rStyle w:val="st"/>
          <w:rFonts w:ascii="Times New Roman" w:hAnsi="Times New Roman" w:cs="Times New Roman"/>
          <w:lang w:eastAsia="zh-CN"/>
        </w:rPr>
        <w:t xml:space="preserve">min, followed by 39 cycles of </w:t>
      </w:r>
      <w:r w:rsidRPr="00EF0948">
        <w:rPr>
          <w:rFonts w:ascii="Times New Roman" w:hAnsi="Times New Roman" w:cs="Times New Roman"/>
        </w:rPr>
        <w:t>95°C for 30s, 58°C for 30s, and 72°C for 1</w:t>
      </w:r>
      <w:r>
        <w:rPr>
          <w:rFonts w:ascii="Times New Roman" w:hAnsi="Times New Roman" w:cs="Times New Roman"/>
        </w:rPr>
        <w:t xml:space="preserve"> </w:t>
      </w:r>
      <w:r w:rsidRPr="00EF0948">
        <w:rPr>
          <w:rFonts w:ascii="Times New Roman" w:hAnsi="Times New Roman" w:cs="Times New Roman"/>
        </w:rPr>
        <w:t>min, and final extension at 72°C for 7</w:t>
      </w:r>
      <w:r>
        <w:rPr>
          <w:rFonts w:ascii="Times New Roman" w:hAnsi="Times New Roman" w:cs="Times New Roman"/>
        </w:rPr>
        <w:t xml:space="preserve"> </w:t>
      </w:r>
      <w:r w:rsidRPr="00EF0948">
        <w:rPr>
          <w:rFonts w:ascii="Times New Roman" w:hAnsi="Times New Roman" w:cs="Times New Roman"/>
        </w:rPr>
        <w:t>min</w:t>
      </w:r>
      <w:r w:rsidRPr="00EF0948">
        <w:rPr>
          <w:rFonts w:ascii="Times New Roman" w:hAnsi="Times New Roman" w:cs="Times New Roman"/>
          <w:lang w:eastAsia="zh-CN"/>
        </w:rPr>
        <w:t>. Primer sequences can be found in (</w:t>
      </w:r>
      <w:r>
        <w:rPr>
          <w:rFonts w:ascii="Times New Roman" w:hAnsi="Times New Roman" w:cs="Times New Roman"/>
          <w:lang w:eastAsia="zh-CN"/>
        </w:rPr>
        <w:t xml:space="preserve">Supplementary </w:t>
      </w:r>
      <w:r w:rsidRPr="00EF0948">
        <w:rPr>
          <w:rFonts w:ascii="Times New Roman" w:hAnsi="Times New Roman" w:cs="Times New Roman"/>
          <w:lang w:eastAsia="zh-CN"/>
        </w:rPr>
        <w:t>Fig.</w:t>
      </w:r>
      <w:r>
        <w:rPr>
          <w:rFonts w:ascii="Times New Roman" w:hAnsi="Times New Roman" w:cs="Times New Roman"/>
          <w:lang w:eastAsia="zh-CN"/>
        </w:rPr>
        <w:t xml:space="preserve"> </w:t>
      </w:r>
      <w:r w:rsidRPr="00EF0948">
        <w:rPr>
          <w:rFonts w:ascii="Times New Roman" w:hAnsi="Times New Roman" w:cs="Times New Roman"/>
          <w:lang w:eastAsia="zh-CN"/>
        </w:rPr>
        <w:t>S5C). PCR products were digested by site-specific restriction enzymes as indicated (</w:t>
      </w:r>
      <w:r>
        <w:rPr>
          <w:rFonts w:ascii="Times New Roman" w:hAnsi="Times New Roman" w:cs="Times New Roman"/>
          <w:lang w:eastAsia="zh-CN"/>
        </w:rPr>
        <w:t xml:space="preserve">Supplementary </w:t>
      </w:r>
      <w:r w:rsidRPr="00EF0948">
        <w:rPr>
          <w:rFonts w:ascii="Times New Roman" w:hAnsi="Times New Roman" w:cs="Times New Roman"/>
          <w:lang w:eastAsia="zh-CN"/>
        </w:rPr>
        <w:t>Fig.</w:t>
      </w:r>
      <w:r>
        <w:rPr>
          <w:rFonts w:ascii="Times New Roman" w:hAnsi="Times New Roman" w:cs="Times New Roman"/>
          <w:lang w:eastAsia="zh-CN"/>
        </w:rPr>
        <w:t xml:space="preserve"> </w:t>
      </w:r>
      <w:r w:rsidRPr="00EF0948">
        <w:rPr>
          <w:rFonts w:ascii="Times New Roman" w:hAnsi="Times New Roman" w:cs="Times New Roman"/>
          <w:lang w:eastAsia="zh-CN"/>
        </w:rPr>
        <w:t>S5A&amp;B). Digestion products were examined via electrophoresis (3% agarose gel) at 80</w:t>
      </w:r>
      <w:r>
        <w:rPr>
          <w:rFonts w:ascii="Times New Roman" w:hAnsi="Times New Roman" w:cs="Times New Roman"/>
          <w:lang w:eastAsia="zh-CN"/>
        </w:rPr>
        <w:t xml:space="preserve"> </w:t>
      </w:r>
      <w:r w:rsidRPr="00EF0948">
        <w:rPr>
          <w:rFonts w:ascii="Times New Roman" w:hAnsi="Times New Roman" w:cs="Times New Roman"/>
          <w:lang w:eastAsia="zh-CN"/>
        </w:rPr>
        <w:t>mV for 60</w:t>
      </w:r>
      <w:r>
        <w:rPr>
          <w:rFonts w:ascii="Times New Roman" w:hAnsi="Times New Roman" w:cs="Times New Roman"/>
          <w:lang w:eastAsia="zh-CN"/>
        </w:rPr>
        <w:t xml:space="preserve"> </w:t>
      </w:r>
      <w:r w:rsidRPr="00EF0948">
        <w:rPr>
          <w:rFonts w:ascii="Times New Roman" w:hAnsi="Times New Roman" w:cs="Times New Roman"/>
          <w:lang w:eastAsia="zh-CN"/>
        </w:rPr>
        <w:t>min.</w:t>
      </w:r>
    </w:p>
    <w:p w14:paraId="6FF3BD57" w14:textId="77777777" w:rsidR="00801E36" w:rsidRDefault="00801E36" w:rsidP="00EB3C6D">
      <w:pPr>
        <w:spacing w:before="1" w:after="1" w:line="480" w:lineRule="auto"/>
        <w:rPr>
          <w:rFonts w:ascii="Times New Roman" w:hAnsi="Times New Roman" w:cs="Times New Roman"/>
          <w:lang w:eastAsia="zh-CN"/>
        </w:rPr>
      </w:pPr>
    </w:p>
    <w:p w14:paraId="655128F1" w14:textId="664E57A9" w:rsidR="00B84797" w:rsidRDefault="002B6ECD" w:rsidP="00EB3C6D">
      <w:pPr>
        <w:spacing w:before="1" w:after="1" w:line="480" w:lineRule="auto"/>
        <w:rPr>
          <w:rFonts w:ascii="Times New Roman" w:hAnsi="Times New Roman" w:cs="Times New Roman"/>
          <w:lang w:eastAsia="zh-CN"/>
        </w:rPr>
      </w:pPr>
      <w:r>
        <w:rPr>
          <w:rFonts w:ascii="Times New Roman" w:hAnsi="Times New Roman" w:cs="Times New Roman"/>
          <w:lang w:eastAsia="zh-CN"/>
        </w:rPr>
        <w:t xml:space="preserve">Next generation sequencing was performed to search for mutations in </w:t>
      </w:r>
      <w:r>
        <w:rPr>
          <w:rFonts w:ascii="Times New Roman" w:hAnsi="Times New Roman" w:cs="Times New Roman"/>
          <w:i/>
          <w:lang w:eastAsia="zh-CN"/>
        </w:rPr>
        <w:t xml:space="preserve">TSC1 </w:t>
      </w:r>
      <w:r>
        <w:rPr>
          <w:rFonts w:ascii="Times New Roman" w:hAnsi="Times New Roman" w:cs="Times New Roman"/>
          <w:lang w:eastAsia="zh-CN"/>
        </w:rPr>
        <w:t xml:space="preserve">and </w:t>
      </w:r>
      <w:r>
        <w:rPr>
          <w:rFonts w:ascii="Times New Roman" w:hAnsi="Times New Roman" w:cs="Times New Roman"/>
          <w:i/>
          <w:lang w:eastAsia="zh-CN"/>
        </w:rPr>
        <w:t>TSC2</w:t>
      </w:r>
      <w:r>
        <w:rPr>
          <w:rFonts w:ascii="Times New Roman" w:hAnsi="Times New Roman" w:cs="Times New Roman"/>
          <w:lang w:eastAsia="zh-CN"/>
        </w:rPr>
        <w:t xml:space="preserve"> at high sensitivity as reportedly previously</w:t>
      </w:r>
      <w:r>
        <w:rPr>
          <w:rFonts w:ascii="Times New Roman" w:hAnsi="Times New Roman" w:cs="Times New Roman"/>
          <w:lang w:eastAsia="zh-CN"/>
        </w:rPr>
        <w:fldChar w:fldCharType="begin"/>
      </w:r>
      <w:r w:rsidR="00905DD6">
        <w:rPr>
          <w:rFonts w:ascii="Times New Roman" w:hAnsi="Times New Roman" w:cs="Times New Roman"/>
          <w:lang w:eastAsia="zh-CN"/>
        </w:rPr>
        <w:instrText xml:space="preserve"> ADDIN PAPERS2_CITATIONS &lt;citation&gt;&lt;uuid&gt;3622B72B-1853-4FA9-B9D7-7490394E36FF&lt;/uuid&gt;&lt;priority&gt;0&lt;/priority&gt;&lt;publications&gt;&lt;publication&gt;&lt;uuid&gt;F02B156D-684A-4579-8470-8984C7CFCD27&lt;/uuid&gt;&lt;volume&gt;11&lt;/volume&gt;&lt;accepted_date&gt;99201510081200000000222000&lt;/accepted_date&gt;&lt;doi&gt;10.1371/journal.pgen.1005637&lt;/doi&gt;&lt;startpage&gt;e1005637&lt;/startpage&gt;&lt;publication_date&gt;99201511001200000000220000&lt;/publication_date&gt;&lt;url&gt;http://dx.plos.org/10.1371/journal.pgen.1005637&lt;/url&gt;&lt;type&gt;400&lt;/type&gt;&lt;title&gt;Mosaic and Intronic Mutations in TSC1/TSC2 Explain the Majority of TSC Patients with No Mutation Identified by Conventional Testing.&lt;/title&gt;&lt;publisher&gt;Public Library of Science&lt;/publisher&gt;&lt;submission_date&gt;99201506011200000000222000&lt;/submission_date&gt;&lt;number&gt;11&lt;/number&gt;&lt;institution&gt;Department of Medicine, Brigham and Women's Hospital, Boston, Massachusetts, United States of America.&lt;/institution&gt;&lt;subtype&gt;400&lt;/subtype&gt;&lt;bundle&gt;&lt;publication&gt;&lt;title&gt;PLoS Genetics&lt;/title&gt;&lt;type&gt;-100&lt;/type&gt;&lt;subtype&gt;-100&lt;/subtype&gt;&lt;uuid&gt;611E9AEA-5922-4335-B293-9A27DAA75A99&lt;/uuid&gt;&lt;/publication&gt;&lt;/bundle&gt;&lt;authors&gt;&lt;author&gt;&lt;firstName&gt;Magdalena&lt;/firstName&gt;&lt;middleNames&gt;E&lt;/middleNames&gt;&lt;lastName&gt;Tyburczy&lt;/lastName&gt;&lt;/author&gt;&lt;author&gt;&lt;firstName&gt;Kira&lt;/firstName&gt;&lt;middleNames&gt;A&lt;/middleNames&gt;&lt;lastName&gt;Dies&lt;/lastName&gt;&lt;/author&gt;&lt;author&gt;&lt;firstName&gt;Jennifer&lt;/firstName&gt;&lt;lastName&gt;Glass&lt;/lastName&gt;&lt;/author&gt;&lt;author&gt;&lt;firstName&gt;Susana&lt;/firstName&gt;&lt;lastName&gt;Camposano&lt;/lastName&gt;&lt;/author&gt;&lt;author&gt;&lt;firstName&gt;Yvonne&lt;/firstName&gt;&lt;lastName&gt;Chekaluk&lt;/lastName&gt;&lt;/author&gt;&lt;author&gt;&lt;firstName&gt;Aaron&lt;/firstName&gt;&lt;middleNames&gt;R&lt;/middleNames&gt;&lt;lastName&gt;Thorner&lt;/lastName&gt;&lt;/author&gt;&lt;author&gt;&lt;firstName&gt;Ling&lt;/firstName&gt;&lt;lastName&gt;Lin&lt;/lastName&gt;&lt;/author&gt;&lt;author&gt;&lt;firstName&gt;Darcy&lt;/firstName&gt;&lt;lastName&gt;Krueger&lt;/lastName&gt;&lt;/author&gt;&lt;author&gt;&lt;firstName&gt;David&lt;/firstName&gt;&lt;middleNames&gt;N&lt;/middleNames&gt;&lt;lastName&gt;Franz&lt;/lastName&gt;&lt;/author&gt;&lt;author&gt;&lt;firstName&gt;Elizabeth&lt;/firstName&gt;&lt;middleNames&gt;A&lt;/middleNames&gt;&lt;lastName&gt;Thiele&lt;/lastName&gt;&lt;/author&gt;&lt;author&gt;&lt;firstName&gt;Mustafa&lt;/firstName&gt;&lt;lastName&gt;Sahin&lt;/lastName&gt;&lt;/author&gt;&lt;author&gt;&lt;firstName&gt;David&lt;/firstName&gt;&lt;middleNames&gt;J&lt;/middleNames&gt;&lt;lastName&gt;Kwiatkowski&lt;/lastName&gt;&lt;/author&gt;&lt;/authors&gt;&lt;editors&gt;&lt;author&gt;&lt;firstName&gt;Bruce&lt;/firstName&gt;&lt;middleNames&gt;R&lt;/middleNames&gt;&lt;lastName&gt;Korf&lt;/lastName&gt;&lt;/author&gt;&lt;/editors&gt;&lt;/publication&gt;&lt;/publications&gt;&lt;cites&gt;&lt;/cites&gt;&lt;/citation&gt;</w:instrText>
      </w:r>
      <w:r>
        <w:rPr>
          <w:rFonts w:ascii="Times New Roman" w:hAnsi="Times New Roman" w:cs="Times New Roman"/>
          <w:lang w:eastAsia="zh-CN"/>
        </w:rPr>
        <w:fldChar w:fldCharType="separate"/>
      </w:r>
      <w:r w:rsidR="00905DD6">
        <w:rPr>
          <w:rFonts w:ascii="Times New Roman" w:eastAsiaTheme="minorHAnsi" w:hAnsi="Times New Roman" w:cs="Times New Roman"/>
        </w:rPr>
        <w:t>(2)</w:t>
      </w:r>
      <w:r>
        <w:rPr>
          <w:rFonts w:ascii="Times New Roman" w:hAnsi="Times New Roman" w:cs="Times New Roman"/>
          <w:lang w:eastAsia="zh-CN"/>
        </w:rPr>
        <w:fldChar w:fldCharType="end"/>
      </w:r>
      <w:r>
        <w:rPr>
          <w:rFonts w:ascii="Times New Roman" w:hAnsi="Times New Roman" w:cs="Times New Roman"/>
          <w:lang w:eastAsia="zh-CN"/>
        </w:rPr>
        <w:t xml:space="preserve">. Briefly, DNA was captured using Agilent SureSelect Target Enrichment with a set of oligonucleotide probes covering the entire genomic extent of </w:t>
      </w:r>
      <w:r>
        <w:rPr>
          <w:rFonts w:ascii="Times New Roman" w:hAnsi="Times New Roman" w:cs="Times New Roman"/>
          <w:i/>
          <w:lang w:eastAsia="zh-CN"/>
        </w:rPr>
        <w:t>TSC1</w:t>
      </w:r>
      <w:r>
        <w:rPr>
          <w:rFonts w:ascii="Times New Roman" w:hAnsi="Times New Roman" w:cs="Times New Roman"/>
          <w:lang w:eastAsia="zh-CN"/>
        </w:rPr>
        <w:t xml:space="preserve"> and </w:t>
      </w:r>
      <w:r>
        <w:rPr>
          <w:rFonts w:ascii="Times New Roman" w:hAnsi="Times New Roman" w:cs="Times New Roman"/>
          <w:i/>
          <w:lang w:eastAsia="zh-CN"/>
        </w:rPr>
        <w:t xml:space="preserve">TSC2, </w:t>
      </w:r>
      <w:r>
        <w:rPr>
          <w:rFonts w:ascii="Times New Roman" w:hAnsi="Times New Roman" w:cs="Times New Roman"/>
          <w:lang w:eastAsia="zh-CN"/>
        </w:rPr>
        <w:t xml:space="preserve">and including exonic coverage of 49 mTOR pathway related genes, including </w:t>
      </w:r>
      <w:r>
        <w:rPr>
          <w:rFonts w:ascii="Times New Roman" w:hAnsi="Times New Roman" w:cs="Times New Roman"/>
          <w:i/>
          <w:lang w:eastAsia="zh-CN"/>
        </w:rPr>
        <w:t>MTOR</w:t>
      </w:r>
      <w:r>
        <w:rPr>
          <w:rFonts w:ascii="Times New Roman" w:hAnsi="Times New Roman" w:cs="Times New Roman"/>
          <w:lang w:eastAsia="zh-CN"/>
        </w:rPr>
        <w:t xml:space="preserve"> and </w:t>
      </w:r>
      <w:r>
        <w:rPr>
          <w:rFonts w:ascii="Times New Roman" w:hAnsi="Times New Roman" w:cs="Times New Roman"/>
          <w:i/>
          <w:lang w:eastAsia="zh-CN"/>
        </w:rPr>
        <w:t>RHEB</w:t>
      </w:r>
      <w:r>
        <w:rPr>
          <w:rFonts w:ascii="Times New Roman" w:hAnsi="Times New Roman" w:cs="Times New Roman"/>
          <w:lang w:eastAsia="zh-CN"/>
        </w:rPr>
        <w:t xml:space="preserve">. After library preparation, sequencing was performed on the Illumina </w:t>
      </w:r>
      <w:r w:rsidRPr="00827AEC">
        <w:rPr>
          <w:rFonts w:ascii="Times New Roman" w:hAnsi="Times New Roman" w:cs="Times New Roman"/>
          <w:lang w:eastAsia="zh-CN"/>
        </w:rPr>
        <w:t>HiSeq 2500</w:t>
      </w:r>
      <w:r>
        <w:rPr>
          <w:rFonts w:ascii="Times New Roman" w:hAnsi="Times New Roman" w:cs="Times New Roman"/>
          <w:lang w:eastAsia="zh-CN"/>
        </w:rPr>
        <w:t>. Read data were processed using both standard GATK and custom tools as described</w:t>
      </w:r>
      <w:r>
        <w:rPr>
          <w:rFonts w:ascii="Times New Roman" w:hAnsi="Times New Roman" w:cs="Times New Roman"/>
          <w:lang w:eastAsia="zh-CN"/>
        </w:rPr>
        <w:fldChar w:fldCharType="begin"/>
      </w:r>
      <w:r w:rsidR="00905DD6">
        <w:rPr>
          <w:rFonts w:ascii="Times New Roman" w:hAnsi="Times New Roman" w:cs="Times New Roman"/>
          <w:lang w:eastAsia="zh-CN"/>
        </w:rPr>
        <w:instrText xml:space="preserve"> ADDIN PAPERS2_CITATIONS &lt;citation&gt;&lt;uuid&gt;2EA7B85A-AFBB-415B-B9D8-20A682EF859C&lt;/uuid&gt;&lt;priority&gt;0&lt;/priority&gt;&lt;publications&gt;&lt;publication&gt;&lt;uuid&gt;F02B156D-684A-4579-8470-8984C7CFCD27&lt;/uuid&gt;&lt;volume&gt;11&lt;/volume&gt;&lt;accepted_date&gt;99201510081200000000222000&lt;/accepted_date&gt;&lt;doi&gt;10.1371/journal.pgen.1005637&lt;/doi&gt;&lt;startpage&gt;e1005637&lt;/startpage&gt;&lt;publication_date&gt;99201511001200000000220000&lt;/publication_date&gt;&lt;url&gt;http://dx.plos.org/10.1371/journal.pgen.1005637&lt;/url&gt;&lt;type&gt;400&lt;/type&gt;&lt;title&gt;Mosaic and Intronic Mutations in TSC1/TSC2 Explain the Majority of TSC Patients with No Mutation Identified by Conventional Testing.&lt;/title&gt;&lt;publisher&gt;Public Library of Science&lt;/publisher&gt;&lt;submission_date&gt;99201506011200000000222000&lt;/submission_date&gt;&lt;number&gt;11&lt;/number&gt;&lt;institution&gt;Department of Medicine, Brigham and Women's Hospital, Boston, Massachusetts, United States of America.&lt;/institution&gt;&lt;subtype&gt;400&lt;/subtype&gt;&lt;bundle&gt;&lt;publication&gt;&lt;title&gt;PLoS Genetics&lt;/title&gt;&lt;type&gt;-100&lt;/type&gt;&lt;subtype&gt;-100&lt;/subtype&gt;&lt;uuid&gt;611E9AEA-5922-4335-B293-9A27DAA75A99&lt;/uuid&gt;&lt;/publication&gt;&lt;/bundle&gt;&lt;authors&gt;&lt;author&gt;&lt;firstName&gt;Magdalena&lt;/firstName&gt;&lt;middleNames&gt;E&lt;/middleNames&gt;&lt;lastName&gt;Tyburczy&lt;/lastName&gt;&lt;/author&gt;&lt;author&gt;&lt;firstName&gt;Kira&lt;/firstName&gt;&lt;middleNames&gt;A&lt;/middleNames&gt;&lt;lastName&gt;Dies&lt;/lastName&gt;&lt;/author&gt;&lt;author&gt;&lt;firstName&gt;Jennifer&lt;/firstName&gt;&lt;lastName&gt;Glass&lt;/lastName&gt;&lt;/author&gt;&lt;author&gt;&lt;firstName&gt;Susana&lt;/firstName&gt;&lt;lastName&gt;Camposano&lt;/lastName&gt;&lt;/author&gt;&lt;author&gt;&lt;firstName&gt;Yvonne&lt;/firstName&gt;&lt;lastName&gt;Chekaluk&lt;/lastName&gt;&lt;/author&gt;&lt;author&gt;&lt;firstName&gt;Aaron&lt;/firstName&gt;&lt;middleNames&gt;R&lt;/middleNames&gt;&lt;lastName&gt;Thorner&lt;/lastName&gt;&lt;/author&gt;&lt;author&gt;&lt;firstName&gt;Ling&lt;/firstName&gt;&lt;lastName&gt;Lin&lt;/lastName&gt;&lt;/author&gt;&lt;author&gt;&lt;firstName&gt;Darcy&lt;/firstName&gt;&lt;lastName&gt;Krueger&lt;/lastName&gt;&lt;/author&gt;&lt;author&gt;&lt;firstName&gt;David&lt;/firstName&gt;&lt;middleNames&gt;N&lt;/middleNames&gt;&lt;lastName&gt;Franz&lt;/lastName&gt;&lt;/author&gt;&lt;author&gt;&lt;firstName&gt;Elizabeth&lt;/firstName&gt;&lt;middleNames&gt;A&lt;/middleNames&gt;&lt;lastName&gt;Thiele&lt;/lastName&gt;&lt;/author&gt;&lt;author&gt;&lt;firstName&gt;Mustafa&lt;/firstName&gt;&lt;lastName&gt;Sahin&lt;/lastName&gt;&lt;/author&gt;&lt;author&gt;&lt;firstName&gt;David&lt;/firstName&gt;&lt;middleNames&gt;J&lt;/middleNames&gt;&lt;lastName&gt;Kwiatkowski&lt;/lastName&gt;&lt;/author&gt;&lt;/authors&gt;&lt;editors&gt;&lt;author&gt;&lt;firstName&gt;Bruce&lt;/firstName&gt;&lt;middleNames&gt;R&lt;/middleNames&gt;&lt;lastName&gt;Korf&lt;/lastName&gt;&lt;/author&gt;&lt;/editors&gt;&lt;/publication&gt;&lt;/publications&gt;&lt;cites&gt;&lt;/cites&gt;&lt;/citation&gt;</w:instrText>
      </w:r>
      <w:r>
        <w:rPr>
          <w:rFonts w:ascii="Times New Roman" w:hAnsi="Times New Roman" w:cs="Times New Roman"/>
          <w:lang w:eastAsia="zh-CN"/>
        </w:rPr>
        <w:fldChar w:fldCharType="separate"/>
      </w:r>
      <w:r w:rsidR="00905DD6">
        <w:rPr>
          <w:rFonts w:ascii="Times New Roman" w:eastAsiaTheme="minorHAnsi" w:hAnsi="Times New Roman" w:cs="Times New Roman"/>
        </w:rPr>
        <w:t>(2)</w:t>
      </w:r>
      <w:r>
        <w:rPr>
          <w:rFonts w:ascii="Times New Roman" w:hAnsi="Times New Roman" w:cs="Times New Roman"/>
          <w:lang w:eastAsia="zh-CN"/>
        </w:rPr>
        <w:fldChar w:fldCharType="end"/>
      </w:r>
      <w:r>
        <w:rPr>
          <w:rFonts w:ascii="Times New Roman" w:hAnsi="Times New Roman" w:cs="Times New Roman"/>
          <w:lang w:eastAsia="zh-CN"/>
        </w:rPr>
        <w:t xml:space="preserve">. A read depth of &gt;500x was achieved for the non-repetitive regions of </w:t>
      </w:r>
      <w:r>
        <w:rPr>
          <w:rFonts w:ascii="Times New Roman" w:hAnsi="Times New Roman" w:cs="Times New Roman"/>
          <w:i/>
          <w:lang w:eastAsia="zh-CN"/>
        </w:rPr>
        <w:t>TSC1</w:t>
      </w:r>
      <w:r>
        <w:rPr>
          <w:rFonts w:ascii="Times New Roman" w:hAnsi="Times New Roman" w:cs="Times New Roman"/>
          <w:lang w:eastAsia="zh-CN"/>
        </w:rPr>
        <w:t xml:space="preserve"> and </w:t>
      </w:r>
      <w:r>
        <w:rPr>
          <w:rFonts w:ascii="Times New Roman" w:hAnsi="Times New Roman" w:cs="Times New Roman"/>
          <w:i/>
          <w:lang w:eastAsia="zh-CN"/>
        </w:rPr>
        <w:t xml:space="preserve">TSC2. </w:t>
      </w:r>
      <w:r>
        <w:rPr>
          <w:rFonts w:ascii="Times New Roman" w:hAnsi="Times New Roman" w:cs="Times New Roman"/>
          <w:lang w:eastAsia="zh-CN"/>
        </w:rPr>
        <w:t>After computational analysis, all potential variants were reviewed using the Integrated Genomics Viewer. SNP allele frequencies were also examined to search for evidence of loss of heterozygosity.</w:t>
      </w:r>
    </w:p>
    <w:p w14:paraId="14A9B922" w14:textId="77777777" w:rsidR="00B84797" w:rsidRDefault="00B84797" w:rsidP="00EB3C6D">
      <w:pPr>
        <w:spacing w:before="1" w:after="1" w:line="480" w:lineRule="auto"/>
        <w:rPr>
          <w:rFonts w:ascii="Times New Roman" w:hAnsi="Times New Roman" w:cs="Times New Roman"/>
          <w:lang w:eastAsia="zh-CN"/>
        </w:rPr>
      </w:pPr>
    </w:p>
    <w:p w14:paraId="26D1CE87" w14:textId="77777777" w:rsidR="00B84797" w:rsidRDefault="00B84797" w:rsidP="00EB3C6D">
      <w:pPr>
        <w:spacing w:before="1" w:after="1" w:line="480" w:lineRule="auto"/>
        <w:rPr>
          <w:rFonts w:ascii="Times New Roman" w:hAnsi="Times New Roman" w:cs="Times New Roman"/>
          <w:b/>
          <w:sz w:val="28"/>
          <w:szCs w:val="28"/>
          <w:lang w:eastAsia="zh-CN"/>
        </w:rPr>
      </w:pPr>
    </w:p>
    <w:p w14:paraId="59ECDC92" w14:textId="77777777" w:rsidR="00B84797" w:rsidRDefault="00B84797" w:rsidP="00EB3C6D">
      <w:pPr>
        <w:spacing w:before="1" w:after="1" w:line="480" w:lineRule="auto"/>
        <w:rPr>
          <w:rFonts w:ascii="Times New Roman" w:hAnsi="Times New Roman" w:cs="Times New Roman"/>
          <w:b/>
          <w:sz w:val="28"/>
          <w:szCs w:val="28"/>
          <w:lang w:eastAsia="zh-CN"/>
        </w:rPr>
      </w:pPr>
    </w:p>
    <w:p w14:paraId="4FA8FE25" w14:textId="77777777" w:rsidR="00F1273C" w:rsidRDefault="00F1273C" w:rsidP="00EB3C6D">
      <w:pPr>
        <w:spacing w:before="1" w:after="1" w:line="480" w:lineRule="auto"/>
        <w:rPr>
          <w:rFonts w:ascii="Times New Roman" w:hAnsi="Times New Roman" w:cs="Times New Roman"/>
          <w:b/>
          <w:sz w:val="28"/>
          <w:szCs w:val="28"/>
          <w:lang w:eastAsia="zh-CN"/>
        </w:rPr>
      </w:pPr>
    </w:p>
    <w:p w14:paraId="212AB732" w14:textId="77777777" w:rsidR="00F1273C" w:rsidRDefault="00F1273C" w:rsidP="00EB3C6D">
      <w:pPr>
        <w:spacing w:before="1" w:after="1" w:line="480" w:lineRule="auto"/>
        <w:rPr>
          <w:rFonts w:ascii="Times New Roman" w:hAnsi="Times New Roman" w:cs="Times New Roman"/>
          <w:b/>
          <w:sz w:val="28"/>
          <w:szCs w:val="28"/>
          <w:lang w:eastAsia="zh-CN"/>
        </w:rPr>
      </w:pPr>
    </w:p>
    <w:p w14:paraId="7EC2C643" w14:textId="77777777" w:rsidR="00F1273C" w:rsidRDefault="00F1273C" w:rsidP="00EB3C6D">
      <w:pPr>
        <w:spacing w:before="1" w:after="1" w:line="480" w:lineRule="auto"/>
        <w:rPr>
          <w:rFonts w:ascii="Times New Roman" w:hAnsi="Times New Roman" w:cs="Times New Roman"/>
          <w:b/>
          <w:sz w:val="28"/>
          <w:szCs w:val="28"/>
          <w:lang w:eastAsia="zh-CN"/>
        </w:rPr>
      </w:pPr>
    </w:p>
    <w:p w14:paraId="113CF506" w14:textId="77777777" w:rsidR="00F1273C" w:rsidRDefault="00F1273C" w:rsidP="00EB3C6D">
      <w:pPr>
        <w:spacing w:before="1" w:after="1" w:line="480" w:lineRule="auto"/>
        <w:rPr>
          <w:rFonts w:ascii="Times New Roman" w:hAnsi="Times New Roman" w:cs="Times New Roman"/>
          <w:b/>
          <w:sz w:val="28"/>
          <w:szCs w:val="28"/>
          <w:lang w:eastAsia="zh-CN"/>
        </w:rPr>
      </w:pPr>
    </w:p>
    <w:p w14:paraId="6A90A43E" w14:textId="77777777" w:rsidR="00F1273C" w:rsidRDefault="00F1273C" w:rsidP="00EB3C6D">
      <w:pPr>
        <w:spacing w:before="1" w:after="1" w:line="480" w:lineRule="auto"/>
        <w:rPr>
          <w:rFonts w:ascii="Times New Roman" w:hAnsi="Times New Roman" w:cs="Times New Roman"/>
          <w:b/>
          <w:sz w:val="28"/>
          <w:szCs w:val="28"/>
          <w:lang w:eastAsia="zh-CN"/>
        </w:rPr>
      </w:pPr>
    </w:p>
    <w:p w14:paraId="49F9E026" w14:textId="77777777" w:rsidR="00F1273C" w:rsidRDefault="00F1273C" w:rsidP="00EB3C6D">
      <w:pPr>
        <w:spacing w:before="1" w:after="1" w:line="480" w:lineRule="auto"/>
        <w:rPr>
          <w:rFonts w:ascii="Times New Roman" w:hAnsi="Times New Roman" w:cs="Times New Roman"/>
          <w:b/>
          <w:sz w:val="28"/>
          <w:szCs w:val="28"/>
          <w:lang w:eastAsia="zh-CN"/>
        </w:rPr>
      </w:pPr>
    </w:p>
    <w:p w14:paraId="1218F4CA" w14:textId="77777777" w:rsidR="00F1273C" w:rsidRDefault="00F1273C" w:rsidP="00EB3C6D">
      <w:pPr>
        <w:spacing w:before="1" w:after="1" w:line="480" w:lineRule="auto"/>
        <w:rPr>
          <w:rFonts w:ascii="Times New Roman" w:hAnsi="Times New Roman" w:cs="Times New Roman"/>
          <w:b/>
          <w:sz w:val="28"/>
          <w:szCs w:val="28"/>
          <w:lang w:eastAsia="zh-CN"/>
        </w:rPr>
      </w:pPr>
    </w:p>
    <w:p w14:paraId="62739AD5" w14:textId="77777777" w:rsidR="00F1273C" w:rsidRDefault="00F1273C" w:rsidP="00EB3C6D">
      <w:pPr>
        <w:spacing w:before="1" w:after="1" w:line="480" w:lineRule="auto"/>
        <w:rPr>
          <w:rFonts w:ascii="Times New Roman" w:hAnsi="Times New Roman" w:cs="Times New Roman"/>
          <w:b/>
          <w:sz w:val="28"/>
          <w:szCs w:val="28"/>
          <w:lang w:eastAsia="zh-CN"/>
        </w:rPr>
      </w:pPr>
    </w:p>
    <w:p w14:paraId="0807D917" w14:textId="77777777" w:rsidR="00F1273C" w:rsidRDefault="00F1273C" w:rsidP="00EB3C6D">
      <w:pPr>
        <w:spacing w:before="1" w:after="1" w:line="480" w:lineRule="auto"/>
        <w:rPr>
          <w:rFonts w:ascii="Times New Roman" w:hAnsi="Times New Roman" w:cs="Times New Roman"/>
          <w:b/>
          <w:sz w:val="28"/>
          <w:szCs w:val="28"/>
          <w:lang w:eastAsia="zh-CN"/>
        </w:rPr>
      </w:pPr>
    </w:p>
    <w:p w14:paraId="2FC4AC95" w14:textId="5E793B4C" w:rsidR="00905DD6" w:rsidRPr="00905DD6" w:rsidRDefault="00B84797" w:rsidP="00EB3C6D">
      <w:pPr>
        <w:spacing w:before="1" w:after="1" w:line="480" w:lineRule="auto"/>
        <w:rPr>
          <w:rFonts w:ascii="Times New Roman" w:hAnsi="Times New Roman" w:cs="Times New Roman"/>
          <w:b/>
          <w:sz w:val="28"/>
          <w:szCs w:val="28"/>
          <w:lang w:eastAsia="zh-CN"/>
        </w:rPr>
      </w:pPr>
      <w:r w:rsidRPr="00B84797">
        <w:rPr>
          <w:rFonts w:ascii="Times New Roman" w:hAnsi="Times New Roman" w:cs="Times New Roman"/>
          <w:b/>
          <w:sz w:val="28"/>
          <w:szCs w:val="28"/>
          <w:lang w:eastAsia="zh-CN"/>
        </w:rPr>
        <w:t>Supplementary References</w:t>
      </w:r>
    </w:p>
    <w:p w14:paraId="341D6E29" w14:textId="77777777" w:rsidR="00905DD6" w:rsidRPr="00905DD6" w:rsidRDefault="00905DD6" w:rsidP="00EB3C6D">
      <w:pPr>
        <w:spacing w:before="1" w:after="1" w:line="480" w:lineRule="auto"/>
        <w:rPr>
          <w:rFonts w:ascii="Times New Roman" w:hAnsi="Times New Roman" w:cs="Times New Roman"/>
          <w:b/>
          <w:lang w:eastAsia="zh-CN"/>
        </w:rPr>
      </w:pPr>
    </w:p>
    <w:p w14:paraId="28186D4C" w14:textId="77777777" w:rsidR="00905DD6" w:rsidRPr="00905DD6" w:rsidRDefault="00905DD6" w:rsidP="00EB3C6D">
      <w:pPr>
        <w:widowControl w:val="0"/>
        <w:tabs>
          <w:tab w:val="left" w:pos="480"/>
        </w:tabs>
        <w:autoSpaceDE w:val="0"/>
        <w:autoSpaceDN w:val="0"/>
        <w:adjustRightInd w:val="0"/>
        <w:spacing w:after="240" w:line="480" w:lineRule="auto"/>
        <w:ind w:left="480" w:hanging="480"/>
        <w:rPr>
          <w:rFonts w:ascii="Times New Roman" w:eastAsiaTheme="minorHAnsi" w:hAnsi="Times New Roman" w:cs="Times New Roman"/>
        </w:rPr>
      </w:pPr>
      <w:r w:rsidRPr="00905DD6">
        <w:rPr>
          <w:rFonts w:ascii="Times New Roman" w:hAnsi="Times New Roman" w:cs="Times New Roman"/>
          <w:b/>
          <w:lang w:eastAsia="zh-CN"/>
        </w:rPr>
        <w:fldChar w:fldCharType="begin"/>
      </w:r>
      <w:r w:rsidRPr="00905DD6">
        <w:rPr>
          <w:rFonts w:ascii="Times New Roman" w:hAnsi="Times New Roman" w:cs="Times New Roman"/>
          <w:b/>
          <w:lang w:eastAsia="zh-CN"/>
        </w:rPr>
        <w:instrText xml:space="preserve"> ADDIN PAPERS2_CITATIONS &lt;papers2_bibliography/&gt;</w:instrText>
      </w:r>
      <w:r w:rsidRPr="00905DD6">
        <w:rPr>
          <w:rFonts w:ascii="Times New Roman" w:hAnsi="Times New Roman" w:cs="Times New Roman"/>
          <w:b/>
          <w:lang w:eastAsia="zh-CN"/>
        </w:rPr>
        <w:fldChar w:fldCharType="separate"/>
      </w:r>
      <w:r w:rsidRPr="00905DD6">
        <w:rPr>
          <w:rFonts w:ascii="Times New Roman" w:eastAsiaTheme="minorHAnsi" w:hAnsi="Times New Roman" w:cs="Times New Roman"/>
        </w:rPr>
        <w:t>1.</w:t>
      </w:r>
      <w:r w:rsidRPr="00905DD6">
        <w:rPr>
          <w:rFonts w:ascii="Times New Roman" w:eastAsiaTheme="minorHAnsi" w:hAnsi="Times New Roman" w:cs="Times New Roman"/>
        </w:rPr>
        <w:tab/>
        <w:t xml:space="preserve">Goldberg AA, Joung K-B, Mansuri A, Kang Y, Echavarria R, Nikolajev L, et al. Oncogenic effects of urotensin-II in cells lacking tuberous sclerosis complex-2. Oncotarget. 2016;7:61152–65. </w:t>
      </w:r>
    </w:p>
    <w:p w14:paraId="4C25BAB9" w14:textId="77777777" w:rsidR="00905DD6" w:rsidRPr="00905DD6" w:rsidRDefault="00905DD6" w:rsidP="00EB3C6D">
      <w:pPr>
        <w:widowControl w:val="0"/>
        <w:tabs>
          <w:tab w:val="left" w:pos="480"/>
        </w:tabs>
        <w:autoSpaceDE w:val="0"/>
        <w:autoSpaceDN w:val="0"/>
        <w:adjustRightInd w:val="0"/>
        <w:spacing w:after="240" w:line="480" w:lineRule="auto"/>
        <w:ind w:left="480" w:hanging="480"/>
        <w:rPr>
          <w:rFonts w:ascii="Times New Roman" w:eastAsiaTheme="minorHAnsi" w:hAnsi="Times New Roman" w:cs="Times New Roman"/>
        </w:rPr>
      </w:pPr>
      <w:r w:rsidRPr="00905DD6">
        <w:rPr>
          <w:rFonts w:ascii="Times New Roman" w:eastAsiaTheme="minorHAnsi" w:hAnsi="Times New Roman" w:cs="Times New Roman"/>
        </w:rPr>
        <w:t>2.</w:t>
      </w:r>
      <w:r w:rsidRPr="00905DD6">
        <w:rPr>
          <w:rFonts w:ascii="Times New Roman" w:eastAsiaTheme="minorHAnsi" w:hAnsi="Times New Roman" w:cs="Times New Roman"/>
        </w:rPr>
        <w:tab/>
        <w:t xml:space="preserve">Tyburczy ME, Dies KA, Glass J, Camposano S, Chekaluk Y, Thorner AR, et al. Mosaic and Intronic Mutations in TSC1/TSC2 Explain the Majority of TSC Patients with No Mutation Identified by Conventional Testing. Korf BR, editor. PLoS Genetics. Public Library of Science; 2015;11:e1005637. </w:t>
      </w:r>
    </w:p>
    <w:p w14:paraId="278FB31A" w14:textId="39D037E7" w:rsidR="00905DD6" w:rsidRPr="00B84797" w:rsidRDefault="00905DD6" w:rsidP="00EB3C6D">
      <w:pPr>
        <w:spacing w:before="1" w:after="1" w:line="480" w:lineRule="auto"/>
        <w:rPr>
          <w:rFonts w:ascii="Times New Roman" w:hAnsi="Times New Roman" w:cs="Times New Roman"/>
          <w:b/>
          <w:sz w:val="28"/>
          <w:szCs w:val="28"/>
          <w:lang w:eastAsia="zh-CN"/>
        </w:rPr>
      </w:pPr>
      <w:r w:rsidRPr="00905DD6">
        <w:rPr>
          <w:rFonts w:ascii="Times New Roman" w:hAnsi="Times New Roman" w:cs="Times New Roman"/>
          <w:b/>
          <w:lang w:eastAsia="zh-CN"/>
        </w:rPr>
        <w:fldChar w:fldCharType="end"/>
      </w:r>
    </w:p>
    <w:sectPr w:rsidR="00905DD6" w:rsidRPr="00B84797" w:rsidSect="00B642D0">
      <w:footerReference w:type="even" r:id="rId7"/>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67ED" w14:textId="77777777" w:rsidR="008B504E" w:rsidRDefault="008B504E">
      <w:r>
        <w:separator/>
      </w:r>
    </w:p>
  </w:endnote>
  <w:endnote w:type="continuationSeparator" w:id="0">
    <w:p w14:paraId="34D3678D" w14:textId="77777777" w:rsidR="008B504E" w:rsidRDefault="008B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2187" w14:textId="77777777" w:rsidR="00EC69EE" w:rsidRDefault="007C0D55" w:rsidP="00DC5E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12476" w14:textId="77777777" w:rsidR="00EC69EE" w:rsidRDefault="008B504E" w:rsidP="000542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0635" w14:textId="77777777" w:rsidR="00EC69EE" w:rsidRDefault="007C0D55" w:rsidP="00DC5E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04E">
      <w:rPr>
        <w:rStyle w:val="PageNumber"/>
        <w:noProof/>
      </w:rPr>
      <w:t>1</w:t>
    </w:r>
    <w:r>
      <w:rPr>
        <w:rStyle w:val="PageNumber"/>
      </w:rPr>
      <w:fldChar w:fldCharType="end"/>
    </w:r>
  </w:p>
  <w:p w14:paraId="18FED74E" w14:textId="77777777" w:rsidR="00EC69EE" w:rsidRDefault="008B504E" w:rsidP="00BF4C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585C" w14:textId="77777777" w:rsidR="008B504E" w:rsidRDefault="008B504E">
      <w:r>
        <w:separator/>
      </w:r>
    </w:p>
  </w:footnote>
  <w:footnote w:type="continuationSeparator" w:id="0">
    <w:p w14:paraId="48DAF4FC" w14:textId="77777777" w:rsidR="008B504E" w:rsidRDefault="008B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D"/>
    <w:rsid w:val="001E1C2F"/>
    <w:rsid w:val="002B6ECD"/>
    <w:rsid w:val="00401B10"/>
    <w:rsid w:val="00621514"/>
    <w:rsid w:val="006B5607"/>
    <w:rsid w:val="006E7DB8"/>
    <w:rsid w:val="006E7E57"/>
    <w:rsid w:val="007269B3"/>
    <w:rsid w:val="00735E31"/>
    <w:rsid w:val="00766485"/>
    <w:rsid w:val="007C0D55"/>
    <w:rsid w:val="00801E36"/>
    <w:rsid w:val="008949D7"/>
    <w:rsid w:val="008B504E"/>
    <w:rsid w:val="00905DD6"/>
    <w:rsid w:val="0092023C"/>
    <w:rsid w:val="0092576A"/>
    <w:rsid w:val="009A4C96"/>
    <w:rsid w:val="00A7413D"/>
    <w:rsid w:val="00AC4EDB"/>
    <w:rsid w:val="00AF3F64"/>
    <w:rsid w:val="00B84797"/>
    <w:rsid w:val="00CB049B"/>
    <w:rsid w:val="00CC54DF"/>
    <w:rsid w:val="00D64BB9"/>
    <w:rsid w:val="00D677CF"/>
    <w:rsid w:val="00DB60FD"/>
    <w:rsid w:val="00DC4538"/>
    <w:rsid w:val="00DF0C84"/>
    <w:rsid w:val="00E4172B"/>
    <w:rsid w:val="00E4199B"/>
    <w:rsid w:val="00EB3C6D"/>
    <w:rsid w:val="00F1273C"/>
    <w:rsid w:val="00F716C5"/>
    <w:rsid w:val="00F92625"/>
    <w:rsid w:val="00FD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DB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D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C0D55"/>
  </w:style>
  <w:style w:type="paragraph" w:styleId="Footer">
    <w:name w:val="footer"/>
    <w:basedOn w:val="Normal"/>
    <w:link w:val="FooterChar"/>
    <w:uiPriority w:val="99"/>
    <w:unhideWhenUsed/>
    <w:rsid w:val="007C0D55"/>
    <w:pPr>
      <w:tabs>
        <w:tab w:val="center" w:pos="4320"/>
        <w:tab w:val="right" w:pos="8640"/>
      </w:tabs>
    </w:pPr>
  </w:style>
  <w:style w:type="character" w:customStyle="1" w:styleId="FooterChar">
    <w:name w:val="Footer Char"/>
    <w:basedOn w:val="DefaultParagraphFont"/>
    <w:link w:val="Footer"/>
    <w:uiPriority w:val="99"/>
    <w:rsid w:val="007C0D55"/>
    <w:rPr>
      <w:rFonts w:eastAsiaTheme="minorEastAsia"/>
    </w:rPr>
  </w:style>
  <w:style w:type="character" w:styleId="PageNumber">
    <w:name w:val="page number"/>
    <w:basedOn w:val="DefaultParagraphFont"/>
    <w:uiPriority w:val="99"/>
    <w:semiHidden/>
    <w:unhideWhenUsed/>
    <w:rsid w:val="007C0D55"/>
  </w:style>
  <w:style w:type="character" w:customStyle="1" w:styleId="ft2">
    <w:name w:val="ft2"/>
    <w:basedOn w:val="DefaultParagraphFont"/>
    <w:rsid w:val="002B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F6A472-D819-8047-9A44-5F24E22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12519</Characters>
  <Application>Microsoft Macintosh Word</Application>
  <DocSecurity>0</DocSecurity>
  <Lines>104</Lines>
  <Paragraphs>29</Paragraphs>
  <ScaleCrop>false</ScaleCrop>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Julian</dc:creator>
  <cp:keywords/>
  <dc:description/>
  <cp:lastModifiedBy>Lisa Julian</cp:lastModifiedBy>
  <cp:revision>2</cp:revision>
  <dcterms:created xsi:type="dcterms:W3CDTF">2017-06-12T15:42:00Z</dcterms:created>
  <dcterms:modified xsi:type="dcterms:W3CDTF">2017-06-12T15:42:00Z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id="http://www.zotero.org/styles/cancer-research"/&gt;&lt;format class="21"/&gt;&lt;count citations="3" publications="2"/&gt;&lt;/info&gt;PAPERS2_INFO_END</vt:lpwstr>
  </property>
</Properties>
</file>